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43616" w14:textId="52470FAC" w:rsidR="00C73E3E" w:rsidRPr="000563E9" w:rsidRDefault="00C73E3E" w:rsidP="00FE4C6B">
      <w:pPr>
        <w:spacing w:line="240" w:lineRule="auto"/>
        <w:jc w:val="both"/>
        <w:rPr>
          <w:rFonts w:asciiTheme="majorHAnsi" w:hAnsiTheme="majorHAnsi" w:cstheme="majorHAnsi"/>
          <w:sz w:val="20"/>
          <w:szCs w:val="20"/>
        </w:rPr>
      </w:pPr>
      <w:r w:rsidRPr="000563E9">
        <w:rPr>
          <w:rFonts w:asciiTheme="majorHAnsi" w:hAnsiTheme="majorHAnsi" w:cstheme="majorHAnsi"/>
          <w:sz w:val="20"/>
          <w:szCs w:val="20"/>
        </w:rPr>
        <w:t>Cordial saludo,</w:t>
      </w:r>
    </w:p>
    <w:p w14:paraId="77CA25C6" w14:textId="5E5E40D1" w:rsidR="00C73E3E" w:rsidRPr="000563E9" w:rsidRDefault="00C73E3E" w:rsidP="00FE4C6B">
      <w:pPr>
        <w:spacing w:line="240" w:lineRule="auto"/>
        <w:jc w:val="both"/>
        <w:rPr>
          <w:rFonts w:asciiTheme="majorHAnsi" w:hAnsiTheme="majorHAnsi" w:cstheme="majorHAnsi"/>
          <w:sz w:val="20"/>
          <w:szCs w:val="20"/>
        </w:rPr>
      </w:pPr>
      <w:r w:rsidRPr="000563E9">
        <w:rPr>
          <w:rFonts w:asciiTheme="majorHAnsi" w:hAnsiTheme="majorHAnsi" w:cstheme="majorHAnsi"/>
          <w:sz w:val="20"/>
          <w:szCs w:val="20"/>
        </w:rPr>
        <w:t>Teniendo en cuenta lo solicitado envío para consideración y análisis los siguientes argumentos</w:t>
      </w:r>
      <w:r w:rsidR="009A7E2D">
        <w:rPr>
          <w:rFonts w:asciiTheme="majorHAnsi" w:hAnsiTheme="majorHAnsi" w:cstheme="majorHAnsi"/>
          <w:sz w:val="20"/>
          <w:szCs w:val="20"/>
        </w:rPr>
        <w:t xml:space="preserve"> </w:t>
      </w:r>
      <w:r w:rsidR="009A7E2D" w:rsidRPr="009A7E2D">
        <w:rPr>
          <w:rFonts w:asciiTheme="majorHAnsi" w:hAnsiTheme="majorHAnsi" w:cstheme="majorHAnsi"/>
          <w:b/>
          <w:bCs/>
          <w:sz w:val="20"/>
          <w:szCs w:val="20"/>
        </w:rPr>
        <w:t xml:space="preserve">(hasta el articulo 13, </w:t>
      </w:r>
      <w:proofErr w:type="gramStart"/>
      <w:r w:rsidR="009A7E2D" w:rsidRPr="009A7E2D">
        <w:rPr>
          <w:rFonts w:asciiTheme="majorHAnsi" w:hAnsiTheme="majorHAnsi" w:cstheme="majorHAnsi"/>
          <w:b/>
          <w:bCs/>
          <w:sz w:val="20"/>
          <w:szCs w:val="20"/>
        </w:rPr>
        <w:t>de acuerdo a</w:t>
      </w:r>
      <w:proofErr w:type="gramEnd"/>
      <w:r w:rsidR="009A7E2D" w:rsidRPr="009A7E2D">
        <w:rPr>
          <w:rFonts w:asciiTheme="majorHAnsi" w:hAnsiTheme="majorHAnsi" w:cstheme="majorHAnsi"/>
          <w:b/>
          <w:bCs/>
          <w:sz w:val="20"/>
          <w:szCs w:val="20"/>
        </w:rPr>
        <w:t xml:space="preserve"> los tiempos asignados):</w:t>
      </w:r>
      <w:r w:rsidR="009A7E2D">
        <w:rPr>
          <w:rFonts w:asciiTheme="majorHAnsi" w:hAnsiTheme="majorHAnsi" w:cstheme="majorHAnsi"/>
          <w:sz w:val="20"/>
          <w:szCs w:val="20"/>
        </w:rPr>
        <w:t xml:space="preserve"> </w:t>
      </w:r>
    </w:p>
    <w:tbl>
      <w:tblPr>
        <w:tblStyle w:val="Tablaconcuadrculaclara"/>
        <w:tblW w:w="0" w:type="auto"/>
        <w:tblLook w:val="04A0" w:firstRow="1" w:lastRow="0" w:firstColumn="1" w:lastColumn="0" w:noHBand="0" w:noVBand="1"/>
      </w:tblPr>
      <w:tblGrid>
        <w:gridCol w:w="3539"/>
        <w:gridCol w:w="3402"/>
        <w:gridCol w:w="6055"/>
      </w:tblGrid>
      <w:tr w:rsidR="00811B8C" w:rsidRPr="000563E9" w14:paraId="46F18845" w14:textId="77777777" w:rsidTr="00BA78F5">
        <w:trPr>
          <w:tblHeader/>
        </w:trPr>
        <w:tc>
          <w:tcPr>
            <w:tcW w:w="3539" w:type="dxa"/>
            <w:shd w:val="clear" w:color="auto" w:fill="D9D9D9" w:themeFill="background1" w:themeFillShade="D9"/>
          </w:tcPr>
          <w:p w14:paraId="6A78DB8B" w14:textId="4C78C09F" w:rsidR="00811B8C" w:rsidRPr="000563E9" w:rsidRDefault="00811B8C" w:rsidP="00FE4C6B">
            <w:pPr>
              <w:jc w:val="center"/>
              <w:rPr>
                <w:rFonts w:asciiTheme="majorHAnsi" w:hAnsiTheme="majorHAnsi" w:cstheme="majorHAnsi"/>
                <w:b/>
                <w:bCs/>
                <w:sz w:val="20"/>
                <w:szCs w:val="20"/>
              </w:rPr>
            </w:pPr>
            <w:r w:rsidRPr="000563E9">
              <w:rPr>
                <w:rFonts w:asciiTheme="majorHAnsi" w:hAnsiTheme="majorHAnsi" w:cstheme="majorHAnsi"/>
                <w:b/>
                <w:bCs/>
                <w:sz w:val="20"/>
                <w:szCs w:val="20"/>
              </w:rPr>
              <w:t>Ley 80 de 1993</w:t>
            </w:r>
          </w:p>
        </w:tc>
        <w:tc>
          <w:tcPr>
            <w:tcW w:w="3402" w:type="dxa"/>
            <w:shd w:val="clear" w:color="auto" w:fill="D9D9D9" w:themeFill="background1" w:themeFillShade="D9"/>
          </w:tcPr>
          <w:p w14:paraId="398B540A" w14:textId="042B9C4A" w:rsidR="00811B8C" w:rsidRPr="000563E9" w:rsidRDefault="00811B8C" w:rsidP="00FE4C6B">
            <w:pPr>
              <w:jc w:val="center"/>
              <w:rPr>
                <w:rFonts w:asciiTheme="majorHAnsi" w:hAnsiTheme="majorHAnsi" w:cstheme="majorHAnsi"/>
                <w:b/>
                <w:bCs/>
                <w:sz w:val="20"/>
                <w:szCs w:val="20"/>
              </w:rPr>
            </w:pPr>
            <w:r w:rsidRPr="000563E9">
              <w:rPr>
                <w:rFonts w:asciiTheme="majorHAnsi" w:hAnsiTheme="majorHAnsi" w:cstheme="majorHAnsi"/>
                <w:b/>
                <w:bCs/>
                <w:sz w:val="20"/>
                <w:szCs w:val="20"/>
              </w:rPr>
              <w:t>Proyecto de Ley</w:t>
            </w:r>
          </w:p>
        </w:tc>
        <w:tc>
          <w:tcPr>
            <w:tcW w:w="6055" w:type="dxa"/>
            <w:shd w:val="clear" w:color="auto" w:fill="D9D9D9" w:themeFill="background1" w:themeFillShade="D9"/>
          </w:tcPr>
          <w:p w14:paraId="3123D6BB" w14:textId="3400FAE0" w:rsidR="00811B8C" w:rsidRPr="000563E9" w:rsidRDefault="00811B8C" w:rsidP="00FE4C6B">
            <w:pPr>
              <w:jc w:val="center"/>
              <w:rPr>
                <w:rFonts w:asciiTheme="majorHAnsi" w:hAnsiTheme="majorHAnsi" w:cstheme="majorHAnsi"/>
                <w:b/>
                <w:bCs/>
                <w:sz w:val="20"/>
                <w:szCs w:val="20"/>
              </w:rPr>
            </w:pPr>
            <w:r w:rsidRPr="000563E9">
              <w:rPr>
                <w:rFonts w:asciiTheme="majorHAnsi" w:hAnsiTheme="majorHAnsi" w:cstheme="majorHAnsi"/>
                <w:b/>
                <w:bCs/>
                <w:sz w:val="20"/>
                <w:szCs w:val="20"/>
              </w:rPr>
              <w:t>Argumento para análisis</w:t>
            </w:r>
          </w:p>
        </w:tc>
      </w:tr>
      <w:tr w:rsidR="00AA71C7" w:rsidRPr="000563E9" w14:paraId="262AD812" w14:textId="77777777" w:rsidTr="00BA78F5">
        <w:tc>
          <w:tcPr>
            <w:tcW w:w="3539" w:type="dxa"/>
          </w:tcPr>
          <w:p w14:paraId="04734582" w14:textId="0263B664" w:rsidR="00AA71C7" w:rsidRPr="000563E9" w:rsidRDefault="00665561" w:rsidP="00FE4C6B">
            <w:pPr>
              <w:jc w:val="both"/>
              <w:rPr>
                <w:rFonts w:asciiTheme="majorHAnsi" w:hAnsiTheme="majorHAnsi" w:cstheme="majorHAnsi"/>
                <w:sz w:val="20"/>
                <w:szCs w:val="20"/>
                <w:u w:val="single"/>
              </w:rPr>
            </w:pPr>
            <w:bookmarkStart w:id="0" w:name="1"/>
            <w:r w:rsidRPr="000563E9">
              <w:rPr>
                <w:rFonts w:asciiTheme="majorHAnsi" w:hAnsiTheme="majorHAnsi" w:cstheme="majorHAnsi"/>
                <w:b/>
                <w:bCs/>
                <w:sz w:val="20"/>
                <w:szCs w:val="20"/>
                <w:u w:val="single"/>
              </w:rPr>
              <w:t>ARTÍCULO 1o. DEL OBJETO.</w:t>
            </w:r>
            <w:bookmarkEnd w:id="0"/>
            <w:r w:rsidRPr="000563E9">
              <w:rPr>
                <w:rFonts w:asciiTheme="majorHAnsi" w:hAnsiTheme="majorHAnsi" w:cstheme="majorHAnsi"/>
                <w:sz w:val="20"/>
                <w:szCs w:val="20"/>
                <w:u w:val="single"/>
              </w:rPr>
              <w:t xml:space="preserve"> </w:t>
            </w:r>
            <w:r w:rsidRPr="000563E9">
              <w:rPr>
                <w:rFonts w:asciiTheme="majorHAnsi" w:hAnsiTheme="majorHAnsi" w:cstheme="majorHAnsi"/>
                <w:sz w:val="20"/>
                <w:szCs w:val="20"/>
              </w:rPr>
              <w:t>La presente ley tiene por objeto disponer las reglas y principios que rigen los contratos de las entidades estatales.</w:t>
            </w:r>
          </w:p>
        </w:tc>
        <w:tc>
          <w:tcPr>
            <w:tcW w:w="3402" w:type="dxa"/>
          </w:tcPr>
          <w:p w14:paraId="54AFED99" w14:textId="77777777" w:rsidR="00AA71C7" w:rsidRPr="000563E9" w:rsidRDefault="00AA71C7" w:rsidP="00FE4C6B">
            <w:pPr>
              <w:jc w:val="both"/>
              <w:rPr>
                <w:rFonts w:asciiTheme="majorHAnsi" w:eastAsia="Times New Roman" w:hAnsiTheme="majorHAnsi" w:cstheme="majorHAnsi"/>
                <w:sz w:val="20"/>
                <w:szCs w:val="20"/>
              </w:rPr>
            </w:pPr>
            <w:r w:rsidRPr="000563E9">
              <w:rPr>
                <w:rFonts w:asciiTheme="majorHAnsi" w:eastAsia="Times New Roman" w:hAnsiTheme="majorHAnsi" w:cstheme="majorHAnsi"/>
                <w:b/>
                <w:sz w:val="20"/>
                <w:szCs w:val="20"/>
              </w:rPr>
              <w:t>ARTÍCULO 2o</w:t>
            </w:r>
            <w:r w:rsidRPr="000563E9">
              <w:rPr>
                <w:rFonts w:asciiTheme="majorHAnsi" w:eastAsia="Times New Roman" w:hAnsiTheme="majorHAnsi" w:cstheme="majorHAnsi"/>
                <w:sz w:val="20"/>
                <w:szCs w:val="20"/>
              </w:rPr>
              <w:t xml:space="preserve">. Modifíquese el artículo 1 de la ley 80 de 1993, el cual quedará así: </w:t>
            </w:r>
          </w:p>
          <w:p w14:paraId="7C3AF639" w14:textId="77777777" w:rsidR="00AA71C7" w:rsidRPr="000563E9" w:rsidRDefault="00AA71C7" w:rsidP="00FE4C6B">
            <w:pPr>
              <w:jc w:val="both"/>
              <w:rPr>
                <w:rFonts w:asciiTheme="majorHAnsi" w:eastAsia="Times New Roman" w:hAnsiTheme="majorHAnsi" w:cstheme="majorHAnsi"/>
                <w:sz w:val="20"/>
                <w:szCs w:val="20"/>
              </w:rPr>
            </w:pPr>
          </w:p>
          <w:p w14:paraId="553E4CD0" w14:textId="412BC1A6" w:rsidR="00AA71C7" w:rsidRPr="000563E9" w:rsidRDefault="00AA71C7" w:rsidP="00FE4C6B">
            <w:pPr>
              <w:jc w:val="both"/>
              <w:rPr>
                <w:rFonts w:asciiTheme="majorHAnsi" w:eastAsia="Times New Roman" w:hAnsiTheme="majorHAnsi" w:cstheme="majorHAnsi"/>
                <w:b/>
                <w:i/>
                <w:sz w:val="20"/>
                <w:szCs w:val="20"/>
                <w:u w:val="single"/>
              </w:rPr>
            </w:pPr>
            <w:r w:rsidRPr="000563E9">
              <w:rPr>
                <w:rFonts w:asciiTheme="majorHAnsi" w:eastAsia="Times New Roman" w:hAnsiTheme="majorHAnsi" w:cstheme="majorHAnsi"/>
                <w:sz w:val="20"/>
                <w:szCs w:val="20"/>
              </w:rPr>
              <w:t>“</w:t>
            </w:r>
            <w:r w:rsidRPr="000563E9">
              <w:rPr>
                <w:rFonts w:asciiTheme="majorHAnsi" w:eastAsia="Times New Roman" w:hAnsiTheme="majorHAnsi" w:cstheme="majorHAnsi"/>
                <w:b/>
                <w:sz w:val="20"/>
                <w:szCs w:val="20"/>
              </w:rPr>
              <w:t>ARTÍCULO 1o. DEL OBJETO</w:t>
            </w:r>
            <w:r w:rsidRPr="000563E9">
              <w:rPr>
                <w:rFonts w:asciiTheme="majorHAnsi" w:eastAsia="Times New Roman" w:hAnsiTheme="majorHAnsi" w:cstheme="majorHAnsi"/>
                <w:sz w:val="20"/>
                <w:szCs w:val="20"/>
              </w:rPr>
              <w:t xml:space="preserve">. La presente ley tiene por objeto disponer las reglas y principios que rigen los contratos de las entidades estatales. </w:t>
            </w:r>
            <w:r w:rsidRPr="000563E9">
              <w:rPr>
                <w:rFonts w:asciiTheme="majorHAnsi" w:eastAsia="Times New Roman" w:hAnsiTheme="majorHAnsi" w:cstheme="majorHAnsi"/>
                <w:b/>
                <w:i/>
                <w:sz w:val="20"/>
                <w:szCs w:val="20"/>
                <w:u w:val="single"/>
              </w:rPr>
              <w:t>A partir de la vigencia del presente estatuto, toda la contratación estatal se deberá interpretar y regir a la luz de los principios aquí establecidos. Es deber y derecho de las entidades públicas aplicar el principio del poder preferente en ellos.”</w:t>
            </w:r>
          </w:p>
        </w:tc>
        <w:tc>
          <w:tcPr>
            <w:tcW w:w="6055" w:type="dxa"/>
          </w:tcPr>
          <w:p w14:paraId="28420F94" w14:textId="12BDEE58" w:rsidR="006B307A" w:rsidRPr="000563E9" w:rsidRDefault="006B307A" w:rsidP="00FE4C6B">
            <w:pPr>
              <w:jc w:val="both"/>
              <w:rPr>
                <w:rFonts w:asciiTheme="majorHAnsi" w:hAnsiTheme="majorHAnsi" w:cstheme="majorHAnsi"/>
                <w:sz w:val="20"/>
                <w:szCs w:val="20"/>
              </w:rPr>
            </w:pPr>
            <w:r w:rsidRPr="000563E9">
              <w:rPr>
                <w:rFonts w:asciiTheme="majorHAnsi" w:hAnsiTheme="majorHAnsi" w:cstheme="majorHAnsi"/>
                <w:sz w:val="20"/>
                <w:szCs w:val="20"/>
              </w:rPr>
              <w:t>La Ley 80 de 1993 puede entenderse como una “ley de principios”, en la medida en que la contratación estatal debe concebirse como una herramienta de gestión eficiente y no limitarse al cumplimiento meramente ritual de requisitos formales</w:t>
            </w:r>
            <w:r w:rsidR="00F9328D" w:rsidRPr="000563E9">
              <w:rPr>
                <w:rFonts w:asciiTheme="majorHAnsi" w:hAnsiTheme="majorHAnsi" w:cstheme="majorHAnsi"/>
                <w:sz w:val="20"/>
                <w:szCs w:val="20"/>
              </w:rPr>
              <w:t xml:space="preserve">, en </w:t>
            </w:r>
            <w:r w:rsidRPr="000563E9">
              <w:rPr>
                <w:rFonts w:asciiTheme="majorHAnsi" w:hAnsiTheme="majorHAnsi" w:cstheme="majorHAnsi"/>
                <w:sz w:val="20"/>
                <w:szCs w:val="20"/>
              </w:rPr>
              <w:t>este sentido, se confía en la capacidad del administrador</w:t>
            </w:r>
            <w:r w:rsidR="002357AE" w:rsidRPr="000563E9">
              <w:rPr>
                <w:rFonts w:asciiTheme="majorHAnsi" w:hAnsiTheme="majorHAnsi" w:cstheme="majorHAnsi"/>
                <w:sz w:val="20"/>
                <w:szCs w:val="20"/>
              </w:rPr>
              <w:t xml:space="preserve"> y los operadores ju</w:t>
            </w:r>
            <w:r w:rsidR="00851A0C" w:rsidRPr="000563E9">
              <w:rPr>
                <w:rFonts w:asciiTheme="majorHAnsi" w:hAnsiTheme="majorHAnsi" w:cstheme="majorHAnsi"/>
                <w:sz w:val="20"/>
                <w:szCs w:val="20"/>
              </w:rPr>
              <w:t>rídic</w:t>
            </w:r>
            <w:r w:rsidR="002357AE" w:rsidRPr="000563E9">
              <w:rPr>
                <w:rFonts w:asciiTheme="majorHAnsi" w:hAnsiTheme="majorHAnsi" w:cstheme="majorHAnsi"/>
                <w:sz w:val="20"/>
                <w:szCs w:val="20"/>
              </w:rPr>
              <w:t>os</w:t>
            </w:r>
            <w:r w:rsidRPr="000563E9">
              <w:rPr>
                <w:rFonts w:asciiTheme="majorHAnsi" w:hAnsiTheme="majorHAnsi" w:cstheme="majorHAnsi"/>
                <w:sz w:val="20"/>
                <w:szCs w:val="20"/>
              </w:rPr>
              <w:t xml:space="preserve"> para actuar con fundamento en la buena fe y en la prevalencia del interés </w:t>
            </w:r>
            <w:r w:rsidR="00553EB5">
              <w:rPr>
                <w:rFonts w:asciiTheme="majorHAnsi" w:hAnsiTheme="majorHAnsi" w:cstheme="majorHAnsi"/>
                <w:sz w:val="20"/>
                <w:szCs w:val="20"/>
              </w:rPr>
              <w:t>general</w:t>
            </w:r>
            <w:r w:rsidR="00F470B2" w:rsidRPr="000563E9">
              <w:rPr>
                <w:rFonts w:asciiTheme="majorHAnsi" w:hAnsiTheme="majorHAnsi" w:cstheme="majorHAnsi"/>
                <w:sz w:val="20"/>
                <w:szCs w:val="20"/>
              </w:rPr>
              <w:t>, de cara a la imposibilidad de regular todos los eventos que se presentan en la realidad de la gestión estatal en todos sus sectores.</w:t>
            </w:r>
          </w:p>
          <w:p w14:paraId="3D72A24F" w14:textId="77777777" w:rsidR="00A35219" w:rsidRPr="000563E9" w:rsidRDefault="00A35219" w:rsidP="00FE4C6B">
            <w:pPr>
              <w:jc w:val="both"/>
              <w:rPr>
                <w:rFonts w:asciiTheme="majorHAnsi" w:hAnsiTheme="majorHAnsi" w:cstheme="majorHAnsi"/>
                <w:sz w:val="20"/>
                <w:szCs w:val="20"/>
              </w:rPr>
            </w:pPr>
          </w:p>
          <w:p w14:paraId="37F5CABA" w14:textId="77777777" w:rsidR="006B307A" w:rsidRPr="000563E9" w:rsidRDefault="006B307A" w:rsidP="00FE4C6B">
            <w:pPr>
              <w:jc w:val="both"/>
              <w:rPr>
                <w:rFonts w:asciiTheme="majorHAnsi" w:hAnsiTheme="majorHAnsi" w:cstheme="majorHAnsi"/>
                <w:sz w:val="20"/>
                <w:szCs w:val="20"/>
              </w:rPr>
            </w:pPr>
            <w:r w:rsidRPr="000563E9">
              <w:rPr>
                <w:rFonts w:asciiTheme="majorHAnsi" w:hAnsiTheme="majorHAnsi" w:cstheme="majorHAnsi"/>
                <w:sz w:val="20"/>
                <w:szCs w:val="20"/>
              </w:rPr>
              <w:t>En consecuencia, el primer cambio propuesto resulta inocuo, en tanto la contratación estatal, a la luz de la Ley 80 de 1993 vigente, ya se rige e interpreta conforme a los principios que la inspiran.</w:t>
            </w:r>
          </w:p>
          <w:p w14:paraId="63644339" w14:textId="77777777" w:rsidR="001762C1" w:rsidRPr="000563E9" w:rsidRDefault="001762C1" w:rsidP="00FE4C6B">
            <w:pPr>
              <w:jc w:val="both"/>
              <w:rPr>
                <w:rFonts w:asciiTheme="majorHAnsi" w:hAnsiTheme="majorHAnsi" w:cstheme="majorHAnsi"/>
                <w:sz w:val="20"/>
                <w:szCs w:val="20"/>
              </w:rPr>
            </w:pPr>
          </w:p>
          <w:p w14:paraId="0ECD709D" w14:textId="5C7A1F11" w:rsidR="007E2B10" w:rsidRPr="000563E9" w:rsidRDefault="001762C1"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De otro lado, la Ley 80 de 1993 constituye un desarrollo de la Constitución Política de Colombia de 1991, </w:t>
            </w:r>
            <w:r w:rsidR="00DF70AA" w:rsidRPr="000563E9">
              <w:rPr>
                <w:rFonts w:asciiTheme="majorHAnsi" w:hAnsiTheme="majorHAnsi" w:cstheme="majorHAnsi"/>
                <w:sz w:val="20"/>
                <w:szCs w:val="20"/>
              </w:rPr>
              <w:t>concluyendo en su diseño la materialización de los siguientes</w:t>
            </w:r>
            <w:r w:rsidR="007E2B10" w:rsidRPr="000563E9">
              <w:rPr>
                <w:rFonts w:asciiTheme="majorHAnsi" w:hAnsiTheme="majorHAnsi" w:cstheme="majorHAnsi"/>
                <w:sz w:val="20"/>
                <w:szCs w:val="20"/>
              </w:rPr>
              <w:t xml:space="preserve"> </w:t>
            </w:r>
            <w:r w:rsidR="00CA184E" w:rsidRPr="000563E9">
              <w:rPr>
                <w:rFonts w:asciiTheme="majorHAnsi" w:hAnsiTheme="majorHAnsi" w:cstheme="majorHAnsi"/>
                <w:sz w:val="20"/>
                <w:szCs w:val="20"/>
              </w:rPr>
              <w:t>ejes</w:t>
            </w:r>
            <w:r w:rsidR="00ED72DA" w:rsidRPr="000563E9">
              <w:rPr>
                <w:rFonts w:asciiTheme="majorHAnsi" w:hAnsiTheme="majorHAnsi" w:cstheme="majorHAnsi"/>
                <w:sz w:val="20"/>
                <w:szCs w:val="20"/>
              </w:rPr>
              <w:t xml:space="preserve"> constitucionales</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Estado Social de Derecho (art. 1 CP)</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Función administrativa (art. 209 CP)</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Principio de legalidad (arts. 4, 6, 121 CP)</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Libertad económica y competencia (arts. 333 y 334 CP)</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Igualdad y debido proceso (arts. 13 y 29 CP)</w:t>
            </w:r>
            <w:r w:rsidR="00CA184E" w:rsidRPr="000563E9">
              <w:rPr>
                <w:rFonts w:asciiTheme="majorHAnsi" w:hAnsiTheme="majorHAnsi" w:cstheme="majorHAnsi"/>
                <w:sz w:val="20"/>
                <w:szCs w:val="20"/>
              </w:rPr>
              <w:t xml:space="preserve">, </w:t>
            </w:r>
            <w:r w:rsidR="007E2B10" w:rsidRPr="000563E9">
              <w:rPr>
                <w:rFonts w:asciiTheme="majorHAnsi" w:hAnsiTheme="majorHAnsi" w:cstheme="majorHAnsi"/>
                <w:sz w:val="20"/>
                <w:szCs w:val="20"/>
              </w:rPr>
              <w:t>Participación ciudadana (arts. 1, 2, 40, 103 CP)</w:t>
            </w:r>
            <w:r w:rsidR="00CA184E" w:rsidRPr="000563E9">
              <w:rPr>
                <w:rFonts w:asciiTheme="majorHAnsi" w:hAnsiTheme="majorHAnsi" w:cstheme="majorHAnsi"/>
                <w:sz w:val="20"/>
                <w:szCs w:val="20"/>
              </w:rPr>
              <w:t xml:space="preserve"> y, </w:t>
            </w:r>
            <w:r w:rsidR="007E2B10" w:rsidRPr="000563E9">
              <w:rPr>
                <w:rFonts w:asciiTheme="majorHAnsi" w:hAnsiTheme="majorHAnsi" w:cstheme="majorHAnsi"/>
                <w:sz w:val="20"/>
                <w:szCs w:val="20"/>
              </w:rPr>
              <w:t>Control fiscal y disciplinario (arts. 267–274 CP)</w:t>
            </w:r>
            <w:r w:rsidR="00CA184E" w:rsidRPr="000563E9">
              <w:rPr>
                <w:rFonts w:asciiTheme="majorHAnsi" w:hAnsiTheme="majorHAnsi" w:cstheme="majorHAnsi"/>
                <w:sz w:val="20"/>
                <w:szCs w:val="20"/>
              </w:rPr>
              <w:t>.</w:t>
            </w:r>
          </w:p>
          <w:p w14:paraId="3A974B6D" w14:textId="77777777" w:rsidR="00301EDC" w:rsidRPr="000563E9" w:rsidRDefault="00301EDC" w:rsidP="00FE4C6B">
            <w:pPr>
              <w:jc w:val="both"/>
              <w:rPr>
                <w:rFonts w:asciiTheme="majorHAnsi" w:hAnsiTheme="majorHAnsi" w:cstheme="majorHAnsi"/>
                <w:sz w:val="20"/>
                <w:szCs w:val="20"/>
              </w:rPr>
            </w:pPr>
          </w:p>
          <w:p w14:paraId="1D74E8E2" w14:textId="21F3EB78" w:rsidR="00700FD1" w:rsidRPr="000563E9" w:rsidRDefault="00301EDC"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Así las cosas, el reconocimiento de los </w:t>
            </w:r>
            <w:r w:rsidR="001762C1" w:rsidRPr="000563E9">
              <w:rPr>
                <w:rFonts w:asciiTheme="majorHAnsi" w:hAnsiTheme="majorHAnsi" w:cstheme="majorHAnsi"/>
                <w:sz w:val="20"/>
                <w:szCs w:val="20"/>
              </w:rPr>
              <w:t xml:space="preserve">particulares como colaboradores de las entidades estatales en el cumplimiento de los fines del Estado, </w:t>
            </w:r>
            <w:r w:rsidRPr="000563E9">
              <w:rPr>
                <w:rFonts w:asciiTheme="majorHAnsi" w:hAnsiTheme="majorHAnsi" w:cstheme="majorHAnsi"/>
                <w:sz w:val="20"/>
                <w:szCs w:val="20"/>
              </w:rPr>
              <w:t>es un elemento central</w:t>
            </w:r>
            <w:r w:rsidR="00E35F76" w:rsidRPr="000563E9">
              <w:rPr>
                <w:rFonts w:asciiTheme="majorHAnsi" w:hAnsiTheme="majorHAnsi" w:cstheme="majorHAnsi"/>
                <w:sz w:val="20"/>
                <w:szCs w:val="20"/>
              </w:rPr>
              <w:t xml:space="preserve"> del Estatuto General de Contratación de la Administración Pública,</w:t>
            </w:r>
            <w:r w:rsidRPr="000563E9">
              <w:rPr>
                <w:rFonts w:asciiTheme="majorHAnsi" w:hAnsiTheme="majorHAnsi" w:cstheme="majorHAnsi"/>
                <w:sz w:val="20"/>
                <w:szCs w:val="20"/>
              </w:rPr>
              <w:t xml:space="preserve"> que deviene de los ejes constitucionales descritos, por lo que el cambio estructural de la colaboración hacia un poder preferente del estado, es un cambio que supera la </w:t>
            </w:r>
            <w:r w:rsidR="00B5176C" w:rsidRPr="000563E9">
              <w:rPr>
                <w:rFonts w:asciiTheme="majorHAnsi" w:hAnsiTheme="majorHAnsi" w:cstheme="majorHAnsi"/>
                <w:sz w:val="20"/>
                <w:szCs w:val="20"/>
              </w:rPr>
              <w:t>competencia del Congreso de la República al analizar el proyecto</w:t>
            </w:r>
            <w:r w:rsidR="00E35F76" w:rsidRPr="000563E9">
              <w:rPr>
                <w:rFonts w:asciiTheme="majorHAnsi" w:hAnsiTheme="majorHAnsi" w:cstheme="majorHAnsi"/>
                <w:sz w:val="20"/>
                <w:szCs w:val="20"/>
              </w:rPr>
              <w:t xml:space="preserve"> y requeriría una previa reforma constitucional.</w:t>
            </w:r>
          </w:p>
          <w:p w14:paraId="1687AAD3" w14:textId="77777777" w:rsidR="000C646D" w:rsidRPr="000563E9" w:rsidRDefault="000C646D" w:rsidP="00FE4C6B">
            <w:pPr>
              <w:jc w:val="both"/>
              <w:rPr>
                <w:rFonts w:asciiTheme="majorHAnsi" w:hAnsiTheme="majorHAnsi" w:cstheme="majorHAnsi"/>
                <w:sz w:val="20"/>
                <w:szCs w:val="20"/>
              </w:rPr>
            </w:pPr>
          </w:p>
          <w:p w14:paraId="11EA2C2B" w14:textId="77777777" w:rsidR="00F44D19" w:rsidRDefault="00700FD1" w:rsidP="00FE4C6B">
            <w:pPr>
              <w:jc w:val="both"/>
              <w:rPr>
                <w:rFonts w:asciiTheme="majorHAnsi" w:hAnsiTheme="majorHAnsi" w:cstheme="majorHAnsi"/>
                <w:sz w:val="20"/>
                <w:szCs w:val="20"/>
              </w:rPr>
            </w:pPr>
            <w:r w:rsidRPr="000563E9">
              <w:rPr>
                <w:rFonts w:asciiTheme="majorHAnsi" w:hAnsiTheme="majorHAnsi" w:cstheme="majorHAnsi"/>
                <w:sz w:val="20"/>
                <w:szCs w:val="20"/>
              </w:rPr>
              <w:lastRenderedPageBreak/>
              <w:t xml:space="preserve">Asimismo, la aplicación del propuesto “principio del poder preferente”, podría entrar en conflicto directo con </w:t>
            </w:r>
            <w:r w:rsidR="00890DAC" w:rsidRPr="000563E9">
              <w:rPr>
                <w:rFonts w:asciiTheme="majorHAnsi" w:hAnsiTheme="majorHAnsi" w:cstheme="majorHAnsi"/>
                <w:sz w:val="20"/>
                <w:szCs w:val="20"/>
              </w:rPr>
              <w:t>el</w:t>
            </w:r>
            <w:r w:rsidRPr="000563E9">
              <w:rPr>
                <w:rFonts w:asciiTheme="majorHAnsi" w:hAnsiTheme="majorHAnsi" w:cstheme="majorHAnsi"/>
                <w:sz w:val="20"/>
                <w:szCs w:val="20"/>
              </w:rPr>
              <w:t xml:space="preserve"> principio de economía y el deber de selección objetiva</w:t>
            </w:r>
            <w:r w:rsidR="000B30E9" w:rsidRPr="000563E9">
              <w:rPr>
                <w:rFonts w:asciiTheme="majorHAnsi" w:hAnsiTheme="majorHAnsi" w:cstheme="majorHAnsi"/>
                <w:sz w:val="20"/>
                <w:szCs w:val="20"/>
              </w:rPr>
              <w:t xml:space="preserve">, </w:t>
            </w:r>
            <w:r w:rsidR="00CE32DC" w:rsidRPr="000563E9">
              <w:rPr>
                <w:rFonts w:asciiTheme="majorHAnsi" w:hAnsiTheme="majorHAnsi" w:cstheme="majorHAnsi"/>
                <w:sz w:val="20"/>
                <w:szCs w:val="20"/>
              </w:rPr>
              <w:t>en la medida en que desplaza el criterio de escogencia de la oferta más favorable para el interés público, sustituyéndolo por un mandato general de ejecución estatal obligatoria.</w:t>
            </w:r>
          </w:p>
          <w:p w14:paraId="12B2CD0A" w14:textId="77777777" w:rsidR="00F44D19" w:rsidRDefault="00F44D19" w:rsidP="00FE4C6B">
            <w:pPr>
              <w:jc w:val="both"/>
              <w:rPr>
                <w:rFonts w:asciiTheme="majorHAnsi" w:hAnsiTheme="majorHAnsi" w:cstheme="majorHAnsi"/>
                <w:sz w:val="20"/>
                <w:szCs w:val="20"/>
              </w:rPr>
            </w:pPr>
          </w:p>
          <w:p w14:paraId="37AE3B4C" w14:textId="63FFEB40" w:rsidR="00CE32DC" w:rsidRPr="000563E9" w:rsidRDefault="00CE32DC"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A </w:t>
            </w:r>
            <w:r w:rsidR="00F44D19">
              <w:rPr>
                <w:rFonts w:asciiTheme="majorHAnsi" w:hAnsiTheme="majorHAnsi" w:cstheme="majorHAnsi"/>
                <w:sz w:val="20"/>
                <w:szCs w:val="20"/>
              </w:rPr>
              <w:t>lo anterior</w:t>
            </w:r>
            <w:r w:rsidRPr="000563E9">
              <w:rPr>
                <w:rFonts w:asciiTheme="majorHAnsi" w:hAnsiTheme="majorHAnsi" w:cstheme="majorHAnsi"/>
                <w:sz w:val="20"/>
                <w:szCs w:val="20"/>
              </w:rPr>
              <w:t xml:space="preserve"> se suma la ausencia de un desarrollo conceptual claro y suficiente en la exposición de motivos, que permita justificar la necesidad, alcance y coherencia sistémica de la incorporación de un nuevo principio dentro del Estatuto General de Contratación de la Administración Pública.</w:t>
            </w:r>
          </w:p>
          <w:p w14:paraId="5215B76E" w14:textId="32259E23" w:rsidR="00747A84" w:rsidRPr="000563E9" w:rsidRDefault="00747A84" w:rsidP="00FE4C6B">
            <w:pPr>
              <w:jc w:val="both"/>
              <w:rPr>
                <w:rFonts w:asciiTheme="majorHAnsi" w:hAnsiTheme="majorHAnsi" w:cstheme="majorHAnsi"/>
                <w:sz w:val="20"/>
                <w:szCs w:val="20"/>
              </w:rPr>
            </w:pPr>
          </w:p>
        </w:tc>
      </w:tr>
      <w:tr w:rsidR="00811B8C" w:rsidRPr="000563E9" w14:paraId="7F7F5471" w14:textId="77777777" w:rsidTr="00BA78F5">
        <w:tc>
          <w:tcPr>
            <w:tcW w:w="3539" w:type="dxa"/>
          </w:tcPr>
          <w:p w14:paraId="20172E42" w14:textId="064D2831" w:rsidR="000E376D" w:rsidRPr="000563E9" w:rsidRDefault="000E376D" w:rsidP="00FE4C6B">
            <w:pPr>
              <w:jc w:val="both"/>
              <w:rPr>
                <w:rFonts w:asciiTheme="majorHAnsi" w:hAnsiTheme="majorHAnsi" w:cstheme="majorHAnsi"/>
                <w:sz w:val="20"/>
                <w:szCs w:val="20"/>
              </w:rPr>
            </w:pPr>
            <w:bookmarkStart w:id="1" w:name="3"/>
            <w:r w:rsidRPr="000563E9">
              <w:rPr>
                <w:rFonts w:asciiTheme="majorHAnsi" w:hAnsiTheme="majorHAnsi" w:cstheme="majorHAnsi"/>
                <w:b/>
                <w:bCs/>
                <w:sz w:val="20"/>
                <w:szCs w:val="20"/>
                <w:u w:val="single"/>
              </w:rPr>
              <w:lastRenderedPageBreak/>
              <w:t>ARTÍCULO 3o. DE LOS FINES DE LA CONTRATACIÓN ESTATAL.</w:t>
            </w:r>
            <w:bookmarkEnd w:id="1"/>
            <w:r w:rsidRPr="000563E9">
              <w:rPr>
                <w:rFonts w:asciiTheme="majorHAnsi" w:hAnsiTheme="majorHAnsi" w:cstheme="majorHAnsi"/>
                <w:b/>
                <w:bCs/>
                <w:sz w:val="20"/>
                <w:szCs w:val="20"/>
                <w:u w:val="single"/>
              </w:rPr>
              <w:t xml:space="preserve"> </w:t>
            </w:r>
            <w:r w:rsidRPr="000563E9">
              <w:rPr>
                <w:rFonts w:asciiTheme="majorHAnsi" w:hAnsiTheme="majorHAnsi" w:cstheme="majorHAnsi"/>
                <w:sz w:val="20"/>
                <w:szCs w:val="20"/>
              </w:rPr>
              <w:t xml:space="preserve">Los servidores públicos tendrán en consideración que al celebrar contratos y con la ejecución de </w:t>
            </w:r>
            <w:proofErr w:type="gramStart"/>
            <w:r w:rsidRPr="000563E9">
              <w:rPr>
                <w:rFonts w:asciiTheme="majorHAnsi" w:hAnsiTheme="majorHAnsi" w:cstheme="majorHAnsi"/>
                <w:sz w:val="20"/>
                <w:szCs w:val="20"/>
              </w:rPr>
              <w:t>los mismos</w:t>
            </w:r>
            <w:proofErr w:type="gramEnd"/>
            <w:r w:rsidRPr="000563E9">
              <w:rPr>
                <w:rFonts w:asciiTheme="majorHAnsi" w:hAnsiTheme="majorHAnsi" w:cstheme="majorHAnsi"/>
                <w:sz w:val="20"/>
                <w:szCs w:val="20"/>
              </w:rPr>
              <w:t>, las entidades buscan el cumplimiento de los fines estatales, la continua y eficiente prestación de los servicios públicos y la efectividad de los derechos e intereses de los administrados que colaboran con ellas en la consecución de dichos fines.</w:t>
            </w:r>
          </w:p>
          <w:p w14:paraId="3B058BB8" w14:textId="253CD5BE" w:rsidR="00811B8C" w:rsidRPr="000563E9" w:rsidRDefault="000E376D" w:rsidP="00FE4C6B">
            <w:pPr>
              <w:jc w:val="both"/>
              <w:rPr>
                <w:rFonts w:asciiTheme="majorHAnsi" w:hAnsiTheme="majorHAnsi" w:cstheme="majorHAnsi"/>
                <w:sz w:val="20"/>
                <w:szCs w:val="20"/>
              </w:rPr>
            </w:pPr>
            <w:r w:rsidRPr="000563E9">
              <w:rPr>
                <w:rFonts w:asciiTheme="majorHAnsi" w:hAnsiTheme="majorHAnsi" w:cstheme="majorHAnsi"/>
                <w:sz w:val="20"/>
                <w:szCs w:val="20"/>
              </w:rPr>
              <w:t>Los particulares, por su parte, tendrán en cuenta al celebrar y ejecutar contratos con las entidades estatales que colaboran con ellas en el logro de sus fines y cumplen una función social que, como tal, implica obligaciones.</w:t>
            </w:r>
          </w:p>
        </w:tc>
        <w:tc>
          <w:tcPr>
            <w:tcW w:w="3402" w:type="dxa"/>
          </w:tcPr>
          <w:p w14:paraId="69B9BC9B" w14:textId="77777777" w:rsidR="004825BF" w:rsidRPr="000563E9" w:rsidRDefault="004825BF" w:rsidP="00FE4C6B">
            <w:pPr>
              <w:jc w:val="both"/>
              <w:rPr>
                <w:rFonts w:asciiTheme="majorHAnsi" w:eastAsia="Times New Roman" w:hAnsiTheme="majorHAnsi" w:cstheme="majorHAnsi"/>
                <w:sz w:val="20"/>
                <w:szCs w:val="20"/>
              </w:rPr>
            </w:pPr>
            <w:r w:rsidRPr="000563E9">
              <w:rPr>
                <w:rFonts w:asciiTheme="majorHAnsi" w:eastAsia="Times New Roman" w:hAnsiTheme="majorHAnsi" w:cstheme="majorHAnsi"/>
                <w:b/>
                <w:sz w:val="20"/>
                <w:szCs w:val="20"/>
              </w:rPr>
              <w:t xml:space="preserve">ARTÍCULO 3o. </w:t>
            </w:r>
            <w:r w:rsidRPr="000563E9">
              <w:rPr>
                <w:rFonts w:asciiTheme="majorHAnsi" w:eastAsia="Times New Roman" w:hAnsiTheme="majorHAnsi" w:cstheme="majorHAnsi"/>
                <w:sz w:val="20"/>
                <w:szCs w:val="20"/>
              </w:rPr>
              <w:t xml:space="preserve">Modifíquese el artículo 3 de la ley 80 de 1993, el cual quedará así: </w:t>
            </w:r>
          </w:p>
          <w:p w14:paraId="15858085" w14:textId="77777777" w:rsidR="004825BF" w:rsidRPr="000563E9" w:rsidRDefault="004825BF" w:rsidP="00FE4C6B">
            <w:pPr>
              <w:jc w:val="both"/>
              <w:rPr>
                <w:rFonts w:asciiTheme="majorHAnsi" w:eastAsia="Times New Roman" w:hAnsiTheme="majorHAnsi" w:cstheme="majorHAnsi"/>
                <w:sz w:val="20"/>
                <w:szCs w:val="20"/>
              </w:rPr>
            </w:pPr>
          </w:p>
          <w:p w14:paraId="3DA02B9C" w14:textId="77777777" w:rsidR="004825BF" w:rsidRPr="000563E9" w:rsidRDefault="004825BF"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r w:rsidRPr="000563E9">
              <w:rPr>
                <w:rFonts w:asciiTheme="majorHAnsi" w:eastAsia="Times New Roman" w:hAnsiTheme="majorHAnsi" w:cstheme="majorHAnsi"/>
                <w:b/>
                <w:sz w:val="20"/>
                <w:szCs w:val="20"/>
                <w:highlight w:val="white"/>
              </w:rPr>
              <w:t>ARTÍCULO 3o. DE LOS FINES DE LA CONTRATACIÓN ESTATAL</w:t>
            </w:r>
            <w:r w:rsidRPr="000563E9">
              <w:rPr>
                <w:rFonts w:asciiTheme="majorHAnsi" w:eastAsia="Times New Roman" w:hAnsiTheme="majorHAnsi" w:cstheme="majorHAnsi"/>
                <w:sz w:val="20"/>
                <w:szCs w:val="20"/>
                <w:highlight w:val="white"/>
              </w:rPr>
              <w:t xml:space="preserve">. Los servidores públicos tendrán en consideración que al celebrar contratos y con la ejecución de </w:t>
            </w:r>
            <w:proofErr w:type="gramStart"/>
            <w:r w:rsidRPr="000563E9">
              <w:rPr>
                <w:rFonts w:asciiTheme="majorHAnsi" w:eastAsia="Times New Roman" w:hAnsiTheme="majorHAnsi" w:cstheme="majorHAnsi"/>
                <w:sz w:val="20"/>
                <w:szCs w:val="20"/>
                <w:highlight w:val="white"/>
              </w:rPr>
              <w:t>los mismos</w:t>
            </w:r>
            <w:proofErr w:type="gramEnd"/>
            <w:r w:rsidRPr="000563E9">
              <w:rPr>
                <w:rFonts w:asciiTheme="majorHAnsi" w:eastAsia="Times New Roman" w:hAnsiTheme="majorHAnsi" w:cstheme="majorHAnsi"/>
                <w:sz w:val="20"/>
                <w:szCs w:val="20"/>
                <w:highlight w:val="white"/>
              </w:rPr>
              <w:t>, las entidades buscan el cumplimiento de los fines estatales, la continua y eficiente prestación de los servicios públicos y la efectividad de los derechos e intereses de los administrados que colaboran con ellas en la consecución de dichos fines.</w:t>
            </w:r>
          </w:p>
          <w:p w14:paraId="44B5C97A" w14:textId="77777777" w:rsidR="004825BF" w:rsidRPr="000563E9" w:rsidRDefault="004825BF" w:rsidP="00FE4C6B">
            <w:pPr>
              <w:jc w:val="both"/>
              <w:rPr>
                <w:rFonts w:asciiTheme="majorHAnsi" w:eastAsia="Times New Roman" w:hAnsiTheme="majorHAnsi" w:cstheme="majorHAnsi"/>
                <w:strike/>
                <w:sz w:val="20"/>
                <w:szCs w:val="20"/>
                <w:highlight w:val="white"/>
              </w:rPr>
            </w:pPr>
          </w:p>
          <w:p w14:paraId="5ECDE4B6" w14:textId="1B4502C3" w:rsidR="00811B8C" w:rsidRPr="000563E9" w:rsidRDefault="004825BF"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i/>
                <w:sz w:val="20"/>
                <w:szCs w:val="20"/>
                <w:highlight w:val="white"/>
                <w:u w:val="single"/>
              </w:rPr>
              <w:t>El cumplimiento de los fines estatales será realizado por el Estado de forma preferente, no se podrá delegar dicha función a los particulares cuando la entidad pública tenga la capacidad administrativa para hacerlo. El control ciudadano a la contratación pública se realizará a través del incidente de objeciones ciudadanas.”</w:t>
            </w:r>
          </w:p>
        </w:tc>
        <w:tc>
          <w:tcPr>
            <w:tcW w:w="6055" w:type="dxa"/>
          </w:tcPr>
          <w:p w14:paraId="0BA01F2E" w14:textId="73FE0221" w:rsidR="00C41B05" w:rsidRPr="000563E9" w:rsidRDefault="00C41B05" w:rsidP="00FE4C6B">
            <w:pPr>
              <w:jc w:val="both"/>
              <w:rPr>
                <w:rFonts w:asciiTheme="majorHAnsi" w:hAnsiTheme="majorHAnsi" w:cstheme="majorHAnsi"/>
                <w:sz w:val="20"/>
                <w:szCs w:val="20"/>
              </w:rPr>
            </w:pPr>
            <w:r w:rsidRPr="000563E9">
              <w:rPr>
                <w:rFonts w:asciiTheme="majorHAnsi" w:hAnsiTheme="majorHAnsi" w:cstheme="majorHAnsi"/>
                <w:sz w:val="20"/>
                <w:szCs w:val="20"/>
              </w:rPr>
              <w:t>La Ley 80 de 1993 constituye un desarrollo de la Constitución Política de Colombia de 1991, concluyendo en su diseño la materialización de los siguientes ejes constitucionales: Estado Social de Derecho (art. 1 CP), Función administrativa (art. 209 CP), Principio de legalidad (arts. 4, 6, 121 CP), Libertad económica y competencia (arts. 333 y 334 CP), Igualdad y debido proceso (arts. 13 y 29 CP), Participación ciudadana (arts. 1, 2, 40, 103 CP) y, Control fiscal y disciplinario (arts. 267–274 CP).</w:t>
            </w:r>
          </w:p>
          <w:p w14:paraId="18D8E4C8" w14:textId="77777777" w:rsidR="00C41B05" w:rsidRPr="000563E9" w:rsidRDefault="00C41B05" w:rsidP="00FE4C6B">
            <w:pPr>
              <w:jc w:val="both"/>
              <w:rPr>
                <w:rFonts w:asciiTheme="majorHAnsi" w:hAnsiTheme="majorHAnsi" w:cstheme="majorHAnsi"/>
                <w:sz w:val="20"/>
                <w:szCs w:val="20"/>
              </w:rPr>
            </w:pPr>
          </w:p>
          <w:p w14:paraId="53CD818E" w14:textId="77777777" w:rsidR="00C41B05" w:rsidRPr="000563E9" w:rsidRDefault="00C41B05" w:rsidP="00FE4C6B">
            <w:pPr>
              <w:jc w:val="both"/>
              <w:rPr>
                <w:rFonts w:asciiTheme="majorHAnsi" w:hAnsiTheme="majorHAnsi" w:cstheme="majorHAnsi"/>
                <w:sz w:val="20"/>
                <w:szCs w:val="20"/>
              </w:rPr>
            </w:pPr>
            <w:r w:rsidRPr="000563E9">
              <w:rPr>
                <w:rFonts w:asciiTheme="majorHAnsi" w:hAnsiTheme="majorHAnsi" w:cstheme="majorHAnsi"/>
                <w:sz w:val="20"/>
                <w:szCs w:val="20"/>
              </w:rPr>
              <w:t>Así las cosas, el reconocimiento de los particulares como colaboradores de las entidades estatales en el cumplimiento de los fines del Estado, es un elemento central del Estatuto General de Contratación de la Administración Pública, que deviene de los ejes constitucionales descritos, por lo que el cambio estructural de la colaboración hacia un poder preferente del estado, es un cambio que supera la competencia del Congreso de la República al analizar el proyecto y requeriría una previa reforma constitucional.</w:t>
            </w:r>
          </w:p>
          <w:p w14:paraId="3246675C" w14:textId="77777777" w:rsidR="00C41B05" w:rsidRPr="000563E9" w:rsidRDefault="00C41B05" w:rsidP="00FE4C6B">
            <w:pPr>
              <w:jc w:val="both"/>
              <w:rPr>
                <w:rFonts w:asciiTheme="majorHAnsi" w:hAnsiTheme="majorHAnsi" w:cstheme="majorHAnsi"/>
                <w:sz w:val="20"/>
                <w:szCs w:val="20"/>
              </w:rPr>
            </w:pPr>
          </w:p>
          <w:p w14:paraId="326AC77B" w14:textId="24EB4333" w:rsidR="00C41B05" w:rsidRDefault="00C41B05" w:rsidP="00FE4C6B">
            <w:pPr>
              <w:jc w:val="both"/>
              <w:rPr>
                <w:rFonts w:asciiTheme="majorHAnsi" w:hAnsiTheme="majorHAnsi" w:cstheme="majorHAnsi"/>
                <w:sz w:val="20"/>
                <w:szCs w:val="20"/>
              </w:rPr>
            </w:pPr>
            <w:r w:rsidRPr="000563E9">
              <w:rPr>
                <w:rFonts w:asciiTheme="majorHAnsi" w:hAnsiTheme="majorHAnsi" w:cstheme="majorHAnsi"/>
                <w:sz w:val="20"/>
                <w:szCs w:val="20"/>
              </w:rPr>
              <w:t>Adicionalmente, en la estructura de la propuesta existe un error conceptual en el uso de la palabra</w:t>
            </w:r>
            <w:r w:rsidR="00635413" w:rsidRPr="000563E9">
              <w:rPr>
                <w:rFonts w:asciiTheme="majorHAnsi" w:hAnsiTheme="majorHAnsi" w:cstheme="majorHAnsi"/>
                <w:sz w:val="20"/>
                <w:szCs w:val="20"/>
              </w:rPr>
              <w:t xml:space="preserve"> </w:t>
            </w:r>
            <w:r w:rsidRPr="000563E9">
              <w:rPr>
                <w:rFonts w:asciiTheme="majorHAnsi" w:hAnsiTheme="majorHAnsi" w:cstheme="majorHAnsi"/>
                <w:sz w:val="20"/>
                <w:szCs w:val="20"/>
              </w:rPr>
              <w:t xml:space="preserve">“delegación”, </w:t>
            </w:r>
            <w:r w:rsidR="00B132D0" w:rsidRPr="000563E9">
              <w:rPr>
                <w:rFonts w:asciiTheme="majorHAnsi" w:hAnsiTheme="majorHAnsi" w:cstheme="majorHAnsi"/>
                <w:sz w:val="20"/>
                <w:szCs w:val="20"/>
              </w:rPr>
              <w:t xml:space="preserve">que a la luz de lo establecido en el articulo 9° de la Ley 489 de 1998 </w:t>
            </w:r>
            <w:r w:rsidR="00130A90" w:rsidRPr="000563E9">
              <w:rPr>
                <w:rFonts w:asciiTheme="majorHAnsi" w:hAnsiTheme="majorHAnsi" w:cstheme="majorHAnsi"/>
                <w:sz w:val="20"/>
                <w:szCs w:val="20"/>
              </w:rPr>
              <w:t xml:space="preserve">comporta que “las autoridades administrativas, en virtud de lo dispuesto en la Constitución Política y de conformidad con la presente ley, podrán mediante acto de delegación, transferir el ejercicio de funciones a sus colaboradores o a otras autoridades, con funciones afines o complementarias”, circunstancia que no </w:t>
            </w:r>
            <w:r w:rsidR="0063220B" w:rsidRPr="000563E9">
              <w:rPr>
                <w:rFonts w:asciiTheme="majorHAnsi" w:hAnsiTheme="majorHAnsi" w:cstheme="majorHAnsi"/>
                <w:sz w:val="20"/>
                <w:szCs w:val="20"/>
              </w:rPr>
              <w:t>se genera en virtud de un contrato estatal.</w:t>
            </w:r>
          </w:p>
          <w:p w14:paraId="152BBD53" w14:textId="77777777" w:rsidR="00F44D19" w:rsidRPr="000563E9" w:rsidRDefault="00F44D19" w:rsidP="00FE4C6B">
            <w:pPr>
              <w:jc w:val="both"/>
              <w:rPr>
                <w:rFonts w:asciiTheme="majorHAnsi" w:hAnsiTheme="majorHAnsi" w:cstheme="majorHAnsi"/>
                <w:sz w:val="20"/>
                <w:szCs w:val="20"/>
              </w:rPr>
            </w:pPr>
          </w:p>
          <w:p w14:paraId="1EC94ABD" w14:textId="09458D91" w:rsidR="00811B8C" w:rsidRPr="000563E9" w:rsidRDefault="00843E04"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Asimismo, la capacidad </w:t>
            </w:r>
            <w:r w:rsidR="00433721" w:rsidRPr="000563E9">
              <w:rPr>
                <w:rFonts w:asciiTheme="majorHAnsi" w:hAnsiTheme="majorHAnsi" w:cstheme="majorHAnsi"/>
                <w:sz w:val="20"/>
                <w:szCs w:val="20"/>
              </w:rPr>
              <w:t>administrativa para las entidades de derecho público se traduce en la capacidad jurídica para actuar, por lo cual, la estructura de las funciones de las entidades estatales será una limitante practica para la aplicación de la propuesta</w:t>
            </w:r>
            <w:r w:rsidR="00927389" w:rsidRPr="000563E9">
              <w:rPr>
                <w:rFonts w:asciiTheme="majorHAnsi" w:hAnsiTheme="majorHAnsi" w:cstheme="majorHAnsi"/>
                <w:sz w:val="20"/>
                <w:szCs w:val="20"/>
              </w:rPr>
              <w:t xml:space="preserve"> de “principio del poder preferente”</w:t>
            </w:r>
            <w:r w:rsidR="00433721" w:rsidRPr="000563E9">
              <w:rPr>
                <w:rFonts w:asciiTheme="majorHAnsi" w:hAnsiTheme="majorHAnsi" w:cstheme="majorHAnsi"/>
                <w:sz w:val="20"/>
                <w:szCs w:val="20"/>
              </w:rPr>
              <w:t xml:space="preserve">. </w:t>
            </w:r>
          </w:p>
          <w:p w14:paraId="0F000794" w14:textId="77777777" w:rsidR="00433721" w:rsidRPr="000563E9" w:rsidRDefault="00433721" w:rsidP="00FE4C6B">
            <w:pPr>
              <w:jc w:val="both"/>
              <w:rPr>
                <w:rFonts w:asciiTheme="majorHAnsi" w:hAnsiTheme="majorHAnsi" w:cstheme="majorHAnsi"/>
                <w:sz w:val="20"/>
                <w:szCs w:val="20"/>
              </w:rPr>
            </w:pPr>
          </w:p>
          <w:p w14:paraId="47A44D13" w14:textId="0307B016" w:rsidR="00FB5AF2" w:rsidRPr="000563E9" w:rsidRDefault="00433721"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Respecto al control ciudadano, </w:t>
            </w:r>
            <w:r w:rsidR="002213B8" w:rsidRPr="000563E9">
              <w:rPr>
                <w:rFonts w:asciiTheme="majorHAnsi" w:hAnsiTheme="majorHAnsi" w:cstheme="majorHAnsi"/>
                <w:sz w:val="20"/>
                <w:szCs w:val="20"/>
              </w:rPr>
              <w:t xml:space="preserve">este ya se encuentra incluido expresamente en el artículo 66 de la Ley 80 de 1993 y de cara a la preservación del interés general y </w:t>
            </w:r>
            <w:r w:rsidR="009371A2" w:rsidRPr="000563E9">
              <w:rPr>
                <w:rFonts w:asciiTheme="majorHAnsi" w:hAnsiTheme="majorHAnsi" w:cstheme="majorHAnsi"/>
                <w:sz w:val="20"/>
                <w:szCs w:val="20"/>
              </w:rPr>
              <w:t xml:space="preserve">de </w:t>
            </w:r>
            <w:r w:rsidR="002213B8" w:rsidRPr="000563E9">
              <w:rPr>
                <w:rFonts w:asciiTheme="majorHAnsi" w:hAnsiTheme="majorHAnsi" w:cstheme="majorHAnsi"/>
                <w:sz w:val="20"/>
                <w:szCs w:val="20"/>
              </w:rPr>
              <w:t xml:space="preserve">los recursos que se </w:t>
            </w:r>
            <w:r w:rsidR="000361D0" w:rsidRPr="000563E9">
              <w:rPr>
                <w:rFonts w:asciiTheme="majorHAnsi" w:hAnsiTheme="majorHAnsi" w:cstheme="majorHAnsi"/>
                <w:sz w:val="20"/>
                <w:szCs w:val="20"/>
              </w:rPr>
              <w:t>involucran</w:t>
            </w:r>
            <w:r w:rsidR="002213B8" w:rsidRPr="000563E9">
              <w:rPr>
                <w:rFonts w:asciiTheme="majorHAnsi" w:hAnsiTheme="majorHAnsi" w:cstheme="majorHAnsi"/>
                <w:sz w:val="20"/>
                <w:szCs w:val="20"/>
              </w:rPr>
              <w:t xml:space="preserve"> en la estructuración de proyectos, no es clara la coherencia de los incidentes propuestos </w:t>
            </w:r>
            <w:r w:rsidR="009371A2" w:rsidRPr="000563E9">
              <w:rPr>
                <w:rFonts w:asciiTheme="majorHAnsi" w:hAnsiTheme="majorHAnsi" w:cstheme="majorHAnsi"/>
                <w:sz w:val="20"/>
                <w:szCs w:val="20"/>
              </w:rPr>
              <w:t>con la</w:t>
            </w:r>
            <w:r w:rsidR="002213B8" w:rsidRPr="000563E9">
              <w:rPr>
                <w:rFonts w:asciiTheme="majorHAnsi" w:hAnsiTheme="majorHAnsi" w:cstheme="majorHAnsi"/>
                <w:sz w:val="20"/>
                <w:szCs w:val="20"/>
              </w:rPr>
              <w:t xml:space="preserve"> sostenibilidad fiscal</w:t>
            </w:r>
            <w:r w:rsidR="000361D0" w:rsidRPr="000563E9">
              <w:rPr>
                <w:rFonts w:asciiTheme="majorHAnsi" w:hAnsiTheme="majorHAnsi" w:cstheme="majorHAnsi"/>
                <w:sz w:val="20"/>
                <w:szCs w:val="20"/>
              </w:rPr>
              <w:t xml:space="preserve"> y el</w:t>
            </w:r>
            <w:r w:rsidR="009371A2" w:rsidRPr="000563E9">
              <w:rPr>
                <w:rFonts w:asciiTheme="majorHAnsi" w:hAnsiTheme="majorHAnsi" w:cstheme="majorHAnsi"/>
                <w:sz w:val="20"/>
                <w:szCs w:val="20"/>
              </w:rPr>
              <w:t xml:space="preserve"> mismo</w:t>
            </w:r>
            <w:r w:rsidR="000361D0" w:rsidRPr="000563E9">
              <w:rPr>
                <w:rFonts w:asciiTheme="majorHAnsi" w:hAnsiTheme="majorHAnsi" w:cstheme="majorHAnsi"/>
                <w:sz w:val="20"/>
                <w:szCs w:val="20"/>
              </w:rPr>
              <w:t xml:space="preserve"> cumplimiento de los </w:t>
            </w:r>
            <w:r w:rsidR="008F4A93" w:rsidRPr="000563E9">
              <w:rPr>
                <w:rFonts w:asciiTheme="majorHAnsi" w:hAnsiTheme="majorHAnsi" w:cstheme="majorHAnsi"/>
                <w:sz w:val="20"/>
                <w:szCs w:val="20"/>
              </w:rPr>
              <w:t>fines estatales, la continua y eficiente prestación de los servicios públicos y la efectividad de los derechos e intereses de</w:t>
            </w:r>
            <w:r w:rsidR="000E34A8" w:rsidRPr="000563E9">
              <w:rPr>
                <w:rFonts w:asciiTheme="majorHAnsi" w:hAnsiTheme="majorHAnsi" w:cstheme="majorHAnsi"/>
                <w:sz w:val="20"/>
                <w:szCs w:val="20"/>
              </w:rPr>
              <w:t xml:space="preserve"> </w:t>
            </w:r>
            <w:r w:rsidR="00E91CF0" w:rsidRPr="000563E9">
              <w:rPr>
                <w:rFonts w:asciiTheme="majorHAnsi" w:hAnsiTheme="majorHAnsi" w:cstheme="majorHAnsi"/>
                <w:sz w:val="20"/>
                <w:szCs w:val="20"/>
              </w:rPr>
              <w:t xml:space="preserve">todos </w:t>
            </w:r>
            <w:r w:rsidR="008F4A93" w:rsidRPr="000563E9">
              <w:rPr>
                <w:rFonts w:asciiTheme="majorHAnsi" w:hAnsiTheme="majorHAnsi" w:cstheme="majorHAnsi"/>
                <w:sz w:val="20"/>
                <w:szCs w:val="20"/>
              </w:rPr>
              <w:t>los administrados.</w:t>
            </w:r>
          </w:p>
          <w:p w14:paraId="1BCC1647" w14:textId="7D741392" w:rsidR="008F4A93" w:rsidRPr="000563E9" w:rsidRDefault="008F4A93" w:rsidP="00FE4C6B">
            <w:pPr>
              <w:jc w:val="both"/>
              <w:rPr>
                <w:rFonts w:asciiTheme="majorHAnsi" w:hAnsiTheme="majorHAnsi" w:cstheme="majorHAnsi"/>
                <w:sz w:val="20"/>
                <w:szCs w:val="20"/>
              </w:rPr>
            </w:pPr>
          </w:p>
        </w:tc>
      </w:tr>
      <w:tr w:rsidR="00811B8C" w:rsidRPr="000563E9" w14:paraId="5B14D7DC" w14:textId="77777777" w:rsidTr="00BA78F5">
        <w:tc>
          <w:tcPr>
            <w:tcW w:w="3539" w:type="dxa"/>
          </w:tcPr>
          <w:p w14:paraId="5597D216" w14:textId="77777777" w:rsidR="00811B8C" w:rsidRPr="000563E9" w:rsidRDefault="00022224"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4o. DE LOS DERECHOS Y DEBERES DE LAS ENTIDADES ESTATALES. </w:t>
            </w:r>
            <w:r w:rsidRPr="000563E9">
              <w:rPr>
                <w:rFonts w:asciiTheme="majorHAnsi" w:hAnsiTheme="majorHAnsi" w:cstheme="majorHAnsi"/>
                <w:sz w:val="20"/>
                <w:szCs w:val="20"/>
              </w:rPr>
              <w:t>Para la consecución de los fines de que trata el artículo anterior, las entidades estatales: </w:t>
            </w:r>
          </w:p>
          <w:p w14:paraId="7AFCD161" w14:textId="77777777" w:rsidR="00022224" w:rsidRPr="000563E9" w:rsidRDefault="00022224" w:rsidP="00FE4C6B">
            <w:pPr>
              <w:jc w:val="both"/>
              <w:rPr>
                <w:rFonts w:asciiTheme="majorHAnsi" w:hAnsiTheme="majorHAnsi" w:cstheme="majorHAnsi"/>
                <w:sz w:val="20"/>
                <w:szCs w:val="20"/>
              </w:rPr>
            </w:pPr>
            <w:r w:rsidRPr="000563E9">
              <w:rPr>
                <w:rFonts w:asciiTheme="majorHAnsi" w:hAnsiTheme="majorHAnsi" w:cstheme="majorHAnsi"/>
                <w:sz w:val="20"/>
                <w:szCs w:val="20"/>
              </w:rPr>
              <w:t>(…)</w:t>
            </w:r>
          </w:p>
          <w:p w14:paraId="52D76B29" w14:textId="72AE0CE8" w:rsidR="00022224" w:rsidRPr="000563E9" w:rsidRDefault="00022224"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No existe el numeral 11 propuesto. </w:t>
            </w:r>
          </w:p>
        </w:tc>
        <w:tc>
          <w:tcPr>
            <w:tcW w:w="3402" w:type="dxa"/>
          </w:tcPr>
          <w:p w14:paraId="65D87B49" w14:textId="77777777" w:rsidR="007F6A64" w:rsidRPr="000563E9" w:rsidRDefault="007F6A64" w:rsidP="00FE4C6B">
            <w:pPr>
              <w:jc w:val="both"/>
              <w:rPr>
                <w:rFonts w:asciiTheme="majorHAnsi" w:eastAsia="Times New Roman" w:hAnsiTheme="majorHAnsi" w:cstheme="majorHAnsi"/>
                <w:sz w:val="20"/>
                <w:szCs w:val="20"/>
              </w:rPr>
            </w:pPr>
            <w:r w:rsidRPr="000563E9">
              <w:rPr>
                <w:rFonts w:asciiTheme="majorHAnsi" w:eastAsia="Times New Roman" w:hAnsiTheme="majorHAnsi" w:cstheme="majorHAnsi"/>
                <w:b/>
                <w:sz w:val="20"/>
                <w:szCs w:val="20"/>
              </w:rPr>
              <w:t>ARTÍCULO 4o.</w:t>
            </w:r>
            <w:r w:rsidRPr="000563E9">
              <w:rPr>
                <w:rFonts w:asciiTheme="majorHAnsi" w:eastAsia="Times New Roman" w:hAnsiTheme="majorHAnsi" w:cstheme="majorHAnsi"/>
                <w:sz w:val="20"/>
                <w:szCs w:val="20"/>
              </w:rPr>
              <w:t xml:space="preserve"> Adiciónese el numeral 11 al artículo 4 de la ley 80 de 1993, el cual quedará así: </w:t>
            </w:r>
          </w:p>
          <w:p w14:paraId="3CFE86B2" w14:textId="77777777" w:rsidR="007F6A64" w:rsidRPr="000563E9" w:rsidRDefault="007F6A64" w:rsidP="00FE4C6B">
            <w:pPr>
              <w:jc w:val="both"/>
              <w:rPr>
                <w:rFonts w:asciiTheme="majorHAnsi" w:eastAsia="Times New Roman" w:hAnsiTheme="majorHAnsi" w:cstheme="majorHAnsi"/>
                <w:sz w:val="20"/>
                <w:szCs w:val="20"/>
              </w:rPr>
            </w:pPr>
          </w:p>
          <w:p w14:paraId="0B823914" w14:textId="77777777" w:rsidR="007F6A64" w:rsidRPr="000563E9" w:rsidRDefault="007F6A64"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r w:rsidRPr="000563E9">
              <w:rPr>
                <w:rFonts w:asciiTheme="majorHAnsi" w:eastAsia="Times New Roman" w:hAnsiTheme="majorHAnsi" w:cstheme="majorHAnsi"/>
                <w:b/>
                <w:sz w:val="20"/>
                <w:szCs w:val="20"/>
                <w:highlight w:val="white"/>
              </w:rPr>
              <w:t>ARTÍCULO 4o. DE LOS DERECHOS Y DEBERES DE LAS ENTIDADES ESTATALES.</w:t>
            </w:r>
            <w:r w:rsidRPr="000563E9">
              <w:rPr>
                <w:rFonts w:asciiTheme="majorHAnsi" w:eastAsia="Times New Roman" w:hAnsiTheme="majorHAnsi" w:cstheme="majorHAnsi"/>
                <w:sz w:val="20"/>
                <w:szCs w:val="20"/>
                <w:highlight w:val="white"/>
              </w:rPr>
              <w:t xml:space="preserve"> Para la consecución de los fines de que trata el artículo anterior, las entidades estatales:</w:t>
            </w:r>
          </w:p>
          <w:p w14:paraId="1DD462A6" w14:textId="77777777" w:rsidR="007F6A64" w:rsidRPr="000563E9" w:rsidRDefault="007F6A64"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p>
          <w:p w14:paraId="77D93E7D" w14:textId="77777777" w:rsidR="007F6A64" w:rsidRPr="000563E9" w:rsidRDefault="007F6A64" w:rsidP="00FE4C6B">
            <w:pPr>
              <w:jc w:val="both"/>
              <w:rPr>
                <w:rFonts w:asciiTheme="majorHAnsi" w:eastAsia="Times New Roman" w:hAnsiTheme="majorHAnsi" w:cstheme="majorHAnsi"/>
                <w:sz w:val="20"/>
                <w:szCs w:val="20"/>
                <w:highlight w:val="white"/>
              </w:rPr>
            </w:pPr>
          </w:p>
          <w:p w14:paraId="643F267D" w14:textId="77777777" w:rsidR="007F6A64" w:rsidRPr="000563E9" w:rsidRDefault="007F6A64"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11. El cumplimiento de los fines estatales, en razón a él, deberá ejecutar de forma directa las obras públicas y prestar los servicios públicos sin necesidad de contratar con los privados. Los sobrecostos en la contratación estatal se deben indexar sumando los intereses corrientes bancarios.”</w:t>
            </w:r>
          </w:p>
          <w:p w14:paraId="2D36E454" w14:textId="77777777" w:rsidR="00811B8C" w:rsidRPr="000563E9" w:rsidRDefault="00811B8C" w:rsidP="00FE4C6B">
            <w:pPr>
              <w:jc w:val="both"/>
              <w:rPr>
                <w:rFonts w:asciiTheme="majorHAnsi" w:hAnsiTheme="majorHAnsi" w:cstheme="majorHAnsi"/>
                <w:sz w:val="20"/>
                <w:szCs w:val="20"/>
              </w:rPr>
            </w:pPr>
          </w:p>
        </w:tc>
        <w:tc>
          <w:tcPr>
            <w:tcW w:w="6055" w:type="dxa"/>
          </w:tcPr>
          <w:p w14:paraId="51F8568E" w14:textId="77777777" w:rsidR="00811B8C" w:rsidRPr="000563E9" w:rsidRDefault="00254289" w:rsidP="00FE4C6B">
            <w:pPr>
              <w:jc w:val="both"/>
              <w:rPr>
                <w:rFonts w:asciiTheme="majorHAnsi" w:hAnsiTheme="majorHAnsi" w:cstheme="majorHAnsi"/>
                <w:sz w:val="20"/>
                <w:szCs w:val="20"/>
              </w:rPr>
            </w:pPr>
            <w:r w:rsidRPr="000563E9">
              <w:rPr>
                <w:rFonts w:asciiTheme="majorHAnsi" w:hAnsiTheme="majorHAnsi" w:cstheme="majorHAnsi"/>
                <w:sz w:val="20"/>
                <w:szCs w:val="20"/>
              </w:rPr>
              <w:t>La capacidad administrativa para las entidades de derecho público se traduce en la capacidad jurídica para actuar, por lo cual, la estructura de las funciones de las entidades estatales será una limitante practica para la aplicación de la propuesta de “principio del poder preferente”.</w:t>
            </w:r>
          </w:p>
          <w:p w14:paraId="335F8DF9" w14:textId="77777777" w:rsidR="00DA1DEB" w:rsidRPr="000563E9" w:rsidRDefault="00DA1DEB" w:rsidP="00FE4C6B">
            <w:pPr>
              <w:jc w:val="both"/>
              <w:rPr>
                <w:rFonts w:asciiTheme="majorHAnsi" w:hAnsiTheme="majorHAnsi" w:cstheme="majorHAnsi"/>
                <w:sz w:val="20"/>
                <w:szCs w:val="20"/>
              </w:rPr>
            </w:pPr>
          </w:p>
          <w:p w14:paraId="7BF453E2" w14:textId="240794D2" w:rsidR="00A75EC9" w:rsidRPr="000563E9" w:rsidRDefault="00A75EC9"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Adicionalmente, el esquema de colaboración de los particulares previsto en la Ley 80 de 1993 responde a la necesidad de incorporar conocimiento especializado, actualización tecnológica y capacidades operativas que, por su propia naturaleza, el aparato estatal no siempre posee ni puede desarrollar de forma ágil. Esta colaboración se traduce en una ejecución más eficiente de los recursos públicos y en una mejor satisfacción de las necesidades </w:t>
            </w:r>
            <w:r w:rsidR="0041661B">
              <w:rPr>
                <w:rFonts w:asciiTheme="majorHAnsi" w:hAnsiTheme="majorHAnsi" w:cstheme="majorHAnsi"/>
                <w:sz w:val="20"/>
                <w:szCs w:val="20"/>
              </w:rPr>
              <w:t>públicas</w:t>
            </w:r>
            <w:r w:rsidRPr="000563E9">
              <w:rPr>
                <w:rFonts w:asciiTheme="majorHAnsi" w:hAnsiTheme="majorHAnsi" w:cstheme="majorHAnsi"/>
                <w:sz w:val="20"/>
                <w:szCs w:val="20"/>
              </w:rPr>
              <w:t>, razón por la cual la imposición generalizada de la ejecución directa de obras públicas y la prestación de servicios resulta incoherente con el diseño estructural del Estatuto General de Contratación, que parte de la complementariedad y no de la exclusión</w:t>
            </w:r>
            <w:r w:rsidR="0041661B">
              <w:rPr>
                <w:rFonts w:asciiTheme="majorHAnsi" w:hAnsiTheme="majorHAnsi" w:cstheme="majorHAnsi"/>
                <w:sz w:val="20"/>
                <w:szCs w:val="20"/>
              </w:rPr>
              <w:t>,</w:t>
            </w:r>
            <w:r w:rsidRPr="000563E9">
              <w:rPr>
                <w:rFonts w:asciiTheme="majorHAnsi" w:hAnsiTheme="majorHAnsi" w:cstheme="majorHAnsi"/>
                <w:sz w:val="20"/>
                <w:szCs w:val="20"/>
              </w:rPr>
              <w:t xml:space="preserve"> entre la gestión pública y la intervención de particulares.</w:t>
            </w:r>
          </w:p>
          <w:p w14:paraId="61FE44A6" w14:textId="77777777" w:rsidR="00A75EC9" w:rsidRPr="000563E9" w:rsidRDefault="00A75EC9" w:rsidP="00FE4C6B">
            <w:pPr>
              <w:jc w:val="both"/>
              <w:rPr>
                <w:rFonts w:asciiTheme="majorHAnsi" w:hAnsiTheme="majorHAnsi" w:cstheme="majorHAnsi"/>
                <w:sz w:val="20"/>
                <w:szCs w:val="20"/>
              </w:rPr>
            </w:pPr>
          </w:p>
          <w:p w14:paraId="6710512E" w14:textId="55819C52" w:rsidR="0065283A" w:rsidRPr="000563E9" w:rsidRDefault="00A75EC9"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En consecuencia, la ejecución directa como regla preferente no solo desconoce las limitaciones reales de la Administración, sino que también desnaturaliza el modelo constitucional y legal de </w:t>
            </w:r>
            <w:r w:rsidR="0041661B">
              <w:rPr>
                <w:rFonts w:asciiTheme="majorHAnsi" w:hAnsiTheme="majorHAnsi" w:cstheme="majorHAnsi"/>
                <w:sz w:val="20"/>
                <w:szCs w:val="20"/>
              </w:rPr>
              <w:t xml:space="preserve">la </w:t>
            </w:r>
            <w:r w:rsidRPr="000563E9">
              <w:rPr>
                <w:rFonts w:asciiTheme="majorHAnsi" w:hAnsiTheme="majorHAnsi" w:cstheme="majorHAnsi"/>
                <w:sz w:val="20"/>
                <w:szCs w:val="20"/>
              </w:rPr>
              <w:t>contratación</w:t>
            </w:r>
            <w:r w:rsidR="0041661B">
              <w:rPr>
                <w:rFonts w:asciiTheme="majorHAnsi" w:hAnsiTheme="majorHAnsi" w:cstheme="majorHAnsi"/>
                <w:sz w:val="20"/>
                <w:szCs w:val="20"/>
              </w:rPr>
              <w:t xml:space="preserve"> estatal</w:t>
            </w:r>
            <w:r w:rsidRPr="000563E9">
              <w:rPr>
                <w:rFonts w:asciiTheme="majorHAnsi" w:hAnsiTheme="majorHAnsi" w:cstheme="majorHAnsi"/>
                <w:sz w:val="20"/>
                <w:szCs w:val="20"/>
              </w:rPr>
              <w:t xml:space="preserve">, cuyo equilibrio se fundamenta precisamente en la </w:t>
            </w:r>
            <w:r w:rsidR="00C02C9A">
              <w:rPr>
                <w:rFonts w:asciiTheme="majorHAnsi" w:hAnsiTheme="majorHAnsi" w:cstheme="majorHAnsi"/>
                <w:sz w:val="20"/>
                <w:szCs w:val="20"/>
              </w:rPr>
              <w:t>dinámica de mercado</w:t>
            </w:r>
            <w:r w:rsidRPr="000563E9">
              <w:rPr>
                <w:rFonts w:asciiTheme="majorHAnsi" w:hAnsiTheme="majorHAnsi" w:cstheme="majorHAnsi"/>
                <w:sz w:val="20"/>
                <w:szCs w:val="20"/>
              </w:rPr>
              <w:t xml:space="preserve"> y la colaboración técnica de los particulares para el cumplimiento eficaz de los fines del Estado.</w:t>
            </w:r>
          </w:p>
          <w:p w14:paraId="38E29C6C" w14:textId="77777777" w:rsidR="00330A92" w:rsidRPr="000563E9" w:rsidRDefault="00330A92" w:rsidP="00FE4C6B">
            <w:pPr>
              <w:jc w:val="both"/>
              <w:rPr>
                <w:rFonts w:asciiTheme="majorHAnsi" w:hAnsiTheme="majorHAnsi" w:cstheme="majorHAnsi"/>
                <w:sz w:val="20"/>
                <w:szCs w:val="20"/>
              </w:rPr>
            </w:pPr>
          </w:p>
          <w:p w14:paraId="2120B94A" w14:textId="2772581C" w:rsidR="00A6362F" w:rsidRPr="000563E9" w:rsidRDefault="00330A92"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Finalmente, la referencia </w:t>
            </w:r>
            <w:r w:rsidR="00871C94" w:rsidRPr="000563E9">
              <w:rPr>
                <w:rFonts w:asciiTheme="majorHAnsi" w:hAnsiTheme="majorHAnsi" w:cstheme="majorHAnsi"/>
                <w:sz w:val="20"/>
                <w:szCs w:val="20"/>
              </w:rPr>
              <w:t>del proyecto</w:t>
            </w:r>
            <w:r w:rsidRPr="000563E9">
              <w:rPr>
                <w:rFonts w:asciiTheme="majorHAnsi" w:hAnsiTheme="majorHAnsi" w:cstheme="majorHAnsi"/>
                <w:sz w:val="20"/>
                <w:szCs w:val="20"/>
              </w:rPr>
              <w:t xml:space="preserve"> sobre que “</w:t>
            </w:r>
            <w:r w:rsidR="002C5910" w:rsidRPr="000563E9">
              <w:rPr>
                <w:rFonts w:asciiTheme="majorHAnsi" w:hAnsiTheme="majorHAnsi" w:cstheme="majorHAnsi"/>
                <w:sz w:val="20"/>
                <w:szCs w:val="20"/>
              </w:rPr>
              <w:t>l</w:t>
            </w:r>
            <w:r w:rsidRPr="000563E9">
              <w:rPr>
                <w:rFonts w:asciiTheme="majorHAnsi" w:hAnsiTheme="majorHAnsi" w:cstheme="majorHAnsi"/>
                <w:sz w:val="20"/>
                <w:szCs w:val="20"/>
              </w:rPr>
              <w:t>os sobrecostos en la contratación estatal se deben indexar sumando los intereses corrientes bancarios”</w:t>
            </w:r>
            <w:r w:rsidR="002C5910" w:rsidRPr="000563E9">
              <w:rPr>
                <w:rFonts w:asciiTheme="majorHAnsi" w:hAnsiTheme="majorHAnsi" w:cstheme="majorHAnsi"/>
                <w:sz w:val="20"/>
                <w:szCs w:val="20"/>
              </w:rPr>
              <w:t xml:space="preserve">, </w:t>
            </w:r>
            <w:r w:rsidR="00A6362F" w:rsidRPr="000563E9">
              <w:rPr>
                <w:rFonts w:asciiTheme="majorHAnsi" w:hAnsiTheme="majorHAnsi" w:cstheme="majorHAnsi"/>
                <w:sz w:val="20"/>
                <w:szCs w:val="20"/>
              </w:rPr>
              <w:t>es ambigua</w:t>
            </w:r>
            <w:r w:rsidR="002C5910" w:rsidRPr="000563E9">
              <w:rPr>
                <w:rFonts w:asciiTheme="majorHAnsi" w:hAnsiTheme="majorHAnsi" w:cstheme="majorHAnsi"/>
                <w:sz w:val="20"/>
                <w:szCs w:val="20"/>
              </w:rPr>
              <w:t xml:space="preserve"> </w:t>
            </w:r>
            <w:r w:rsidR="003676B6" w:rsidRPr="000563E9">
              <w:rPr>
                <w:rFonts w:asciiTheme="majorHAnsi" w:hAnsiTheme="majorHAnsi" w:cstheme="majorHAnsi"/>
                <w:sz w:val="20"/>
                <w:szCs w:val="20"/>
              </w:rPr>
              <w:t xml:space="preserve">al </w:t>
            </w:r>
            <w:r w:rsidR="00F32985" w:rsidRPr="000563E9">
              <w:rPr>
                <w:rFonts w:asciiTheme="majorHAnsi" w:hAnsiTheme="majorHAnsi" w:cstheme="majorHAnsi"/>
                <w:sz w:val="20"/>
                <w:szCs w:val="20"/>
              </w:rPr>
              <w:t xml:space="preserve">considerar la </w:t>
            </w:r>
            <w:r w:rsidR="00C02C9A">
              <w:rPr>
                <w:rFonts w:asciiTheme="majorHAnsi" w:hAnsiTheme="majorHAnsi" w:cstheme="majorHAnsi"/>
                <w:sz w:val="20"/>
                <w:szCs w:val="20"/>
              </w:rPr>
              <w:t xml:space="preserve">existencia </w:t>
            </w:r>
            <w:r w:rsidR="00F32985" w:rsidRPr="000563E9">
              <w:rPr>
                <w:rFonts w:asciiTheme="majorHAnsi" w:hAnsiTheme="majorHAnsi" w:cstheme="majorHAnsi"/>
                <w:sz w:val="20"/>
                <w:szCs w:val="20"/>
              </w:rPr>
              <w:t xml:space="preserve">del equilibrio económico del contrato y </w:t>
            </w:r>
            <w:r w:rsidR="00EF2B37" w:rsidRPr="000563E9">
              <w:rPr>
                <w:rFonts w:asciiTheme="majorHAnsi" w:hAnsiTheme="majorHAnsi" w:cstheme="majorHAnsi"/>
                <w:sz w:val="20"/>
                <w:szCs w:val="20"/>
              </w:rPr>
              <w:t xml:space="preserve">por el hecho que </w:t>
            </w:r>
            <w:r w:rsidR="00A6362F" w:rsidRPr="000563E9">
              <w:rPr>
                <w:rFonts w:asciiTheme="majorHAnsi" w:hAnsiTheme="majorHAnsi" w:cstheme="majorHAnsi"/>
                <w:sz w:val="20"/>
                <w:szCs w:val="20"/>
              </w:rPr>
              <w:t>la disposición no distingue si dichos intereses se aplicarían a favor del contratista o en su contra, ni si su reconocimiento estaría asociado a supuestos específicos como pagos tardíos, reconocimientos de sobrecostos o ajustes derivados de controversias contractuales.</w:t>
            </w:r>
          </w:p>
          <w:p w14:paraId="6AF7C818" w14:textId="77777777" w:rsidR="00944EC2" w:rsidRPr="000563E9" w:rsidRDefault="00944EC2" w:rsidP="00FE4C6B">
            <w:pPr>
              <w:jc w:val="both"/>
              <w:rPr>
                <w:rFonts w:asciiTheme="majorHAnsi" w:hAnsiTheme="majorHAnsi" w:cstheme="majorHAnsi"/>
                <w:sz w:val="20"/>
                <w:szCs w:val="20"/>
              </w:rPr>
            </w:pPr>
          </w:p>
          <w:p w14:paraId="68A7D544" w14:textId="68AAE1D7" w:rsidR="00F32985" w:rsidRPr="000563E9" w:rsidRDefault="00A6362F"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Adicionalmente, la redacción omite precisar si la aplicación de los intereses corrientes bancarios operaría de manera automática o si estaría supeditada a una decisión administrativa motivada o a un pronunciamiento judicial, lo cual introduce un grado de incertidumbre jurídica. </w:t>
            </w:r>
          </w:p>
          <w:p w14:paraId="2DE23B97" w14:textId="37417C0D" w:rsidR="0065283A" w:rsidRPr="000563E9" w:rsidRDefault="0065283A" w:rsidP="00FE4C6B">
            <w:pPr>
              <w:jc w:val="both"/>
              <w:rPr>
                <w:rFonts w:asciiTheme="majorHAnsi" w:hAnsiTheme="majorHAnsi" w:cstheme="majorHAnsi"/>
                <w:sz w:val="20"/>
                <w:szCs w:val="20"/>
              </w:rPr>
            </w:pPr>
          </w:p>
        </w:tc>
      </w:tr>
      <w:tr w:rsidR="00811B8C" w:rsidRPr="000563E9" w14:paraId="7C257D32" w14:textId="77777777" w:rsidTr="00BA78F5">
        <w:tc>
          <w:tcPr>
            <w:tcW w:w="3539" w:type="dxa"/>
          </w:tcPr>
          <w:p w14:paraId="32EBBC84"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6o. DE LA CAPACIDAD PARA CONTRATAR.</w:t>
            </w:r>
            <w:r w:rsidRPr="000563E9">
              <w:rPr>
                <w:rFonts w:asciiTheme="majorHAnsi" w:hAnsiTheme="majorHAnsi" w:cstheme="majorHAnsi"/>
                <w:sz w:val="20"/>
                <w:szCs w:val="20"/>
              </w:rPr>
              <w:t>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p>
          <w:p w14:paraId="18ABE2B5"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sz w:val="20"/>
                <w:szCs w:val="20"/>
              </w:rPr>
              <w:t>  </w:t>
            </w:r>
          </w:p>
          <w:p w14:paraId="1524E990"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sz w:val="20"/>
                <w:szCs w:val="20"/>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  </w:t>
            </w:r>
          </w:p>
          <w:p w14:paraId="4420E871"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sz w:val="20"/>
                <w:szCs w:val="20"/>
              </w:rPr>
              <w:t>  </w:t>
            </w:r>
          </w:p>
          <w:p w14:paraId="3D821A8E"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sz w:val="20"/>
                <w:szCs w:val="20"/>
              </w:rPr>
              <w:t>Las personas jurídicas nacionales y extranjeras deberán acreditar que su duración no será inferior a la del plazo del contrato y un año más.  </w:t>
            </w:r>
          </w:p>
          <w:p w14:paraId="43419BD1"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sz w:val="20"/>
                <w:szCs w:val="20"/>
              </w:rPr>
              <w:t>  </w:t>
            </w:r>
          </w:p>
          <w:p w14:paraId="47037FC9" w14:textId="77777777" w:rsidR="005C78E4" w:rsidRPr="000563E9" w:rsidRDefault="005C78E4" w:rsidP="00FE4C6B">
            <w:pPr>
              <w:jc w:val="both"/>
              <w:rPr>
                <w:rFonts w:asciiTheme="majorHAnsi" w:hAnsiTheme="majorHAnsi" w:cstheme="majorHAnsi"/>
                <w:sz w:val="20"/>
                <w:szCs w:val="20"/>
              </w:rPr>
            </w:pPr>
            <w:r w:rsidRPr="000563E9">
              <w:rPr>
                <w:rFonts w:asciiTheme="majorHAnsi" w:hAnsiTheme="majorHAnsi" w:cstheme="majorHAnsi"/>
                <w:b/>
                <w:bCs/>
                <w:sz w:val="20"/>
                <w:szCs w:val="20"/>
              </w:rPr>
              <w:t>Parágrafo.</w:t>
            </w:r>
            <w:r w:rsidRPr="000563E9">
              <w:rPr>
                <w:rFonts w:asciiTheme="majorHAnsi" w:hAnsiTheme="majorHAnsi" w:cstheme="majorHAnsi"/>
                <w:sz w:val="20"/>
                <w:szCs w:val="20"/>
              </w:rPr>
              <w:t xml:space="preserve"> Para efectos de la presente ley, la Corporación para la Reconstrucción de la Cuenca del Río Páez y Zonas Aledañas Nasa </w:t>
            </w:r>
            <w:proofErr w:type="spellStart"/>
            <w:r w:rsidRPr="000563E9">
              <w:rPr>
                <w:rFonts w:asciiTheme="majorHAnsi" w:hAnsiTheme="majorHAnsi" w:cstheme="majorHAnsi"/>
                <w:sz w:val="20"/>
                <w:szCs w:val="20"/>
              </w:rPr>
              <w:t>Ki'We</w:t>
            </w:r>
            <w:proofErr w:type="spellEnd"/>
            <w:r w:rsidRPr="000563E9">
              <w:rPr>
                <w:rFonts w:asciiTheme="majorHAnsi" w:hAnsiTheme="majorHAnsi" w:cstheme="majorHAnsi"/>
                <w:sz w:val="20"/>
                <w:szCs w:val="20"/>
              </w:rPr>
              <w:t xml:space="preserve">; podrá celebrar contratos para adelantar y ejecutar, planes, programas y proyectos para la atención de las necesidades de los habitantes de las comunidades étnicas de los municipios de Popayán, Almaguer, Bolívar, Buenos Aires, Cajibío, Caldono, Caloto, Corinto, El Tambo, </w:t>
            </w:r>
            <w:proofErr w:type="spellStart"/>
            <w:r w:rsidRPr="000563E9">
              <w:rPr>
                <w:rFonts w:asciiTheme="majorHAnsi" w:hAnsiTheme="majorHAnsi" w:cstheme="majorHAnsi"/>
                <w:sz w:val="20"/>
                <w:szCs w:val="20"/>
              </w:rPr>
              <w:t>Inzá</w:t>
            </w:r>
            <w:proofErr w:type="spellEnd"/>
            <w:r w:rsidRPr="000563E9">
              <w:rPr>
                <w:rFonts w:asciiTheme="majorHAnsi" w:hAnsiTheme="majorHAnsi" w:cstheme="majorHAnsi"/>
                <w:sz w:val="20"/>
                <w:szCs w:val="20"/>
              </w:rPr>
              <w:t xml:space="preserve">, </w:t>
            </w:r>
            <w:proofErr w:type="spellStart"/>
            <w:r w:rsidRPr="000563E9">
              <w:rPr>
                <w:rFonts w:asciiTheme="majorHAnsi" w:hAnsiTheme="majorHAnsi" w:cstheme="majorHAnsi"/>
                <w:sz w:val="20"/>
                <w:szCs w:val="20"/>
              </w:rPr>
              <w:t>Jambaló</w:t>
            </w:r>
            <w:proofErr w:type="spellEnd"/>
            <w:r w:rsidRPr="000563E9">
              <w:rPr>
                <w:rFonts w:asciiTheme="majorHAnsi" w:hAnsiTheme="majorHAnsi" w:cstheme="majorHAnsi"/>
                <w:sz w:val="20"/>
                <w:szCs w:val="20"/>
              </w:rPr>
              <w:t xml:space="preserve">; La Sierra, La Vega, Miranda, Páez, Patía, Piendamó, Puracé, Rosas, San Sebastián, Santander De Quilichao, Silvia, </w:t>
            </w:r>
            <w:proofErr w:type="spellStart"/>
            <w:r w:rsidRPr="000563E9">
              <w:rPr>
                <w:rFonts w:asciiTheme="majorHAnsi" w:hAnsiTheme="majorHAnsi" w:cstheme="majorHAnsi"/>
                <w:sz w:val="20"/>
                <w:szCs w:val="20"/>
              </w:rPr>
              <w:t>Sotara</w:t>
            </w:r>
            <w:proofErr w:type="spellEnd"/>
            <w:r w:rsidRPr="000563E9">
              <w:rPr>
                <w:rFonts w:asciiTheme="majorHAnsi" w:hAnsiTheme="majorHAnsi" w:cstheme="majorHAnsi"/>
                <w:sz w:val="20"/>
                <w:szCs w:val="20"/>
              </w:rPr>
              <w:t xml:space="preserve">, Suárez, Toribio , Totoró del departamento del Cauca y los municipios de Neiva, Gigante, Íquira, La Argentina, La Plata, Nátaga, </w:t>
            </w:r>
            <w:proofErr w:type="spellStart"/>
            <w:r w:rsidRPr="000563E9">
              <w:rPr>
                <w:rFonts w:asciiTheme="majorHAnsi" w:hAnsiTheme="majorHAnsi" w:cstheme="majorHAnsi"/>
                <w:sz w:val="20"/>
                <w:szCs w:val="20"/>
              </w:rPr>
              <w:t>Paicel</w:t>
            </w:r>
            <w:proofErr w:type="spellEnd"/>
            <w:r w:rsidRPr="000563E9">
              <w:rPr>
                <w:rFonts w:asciiTheme="majorHAnsi" w:hAnsiTheme="majorHAnsi" w:cstheme="majorHAnsi"/>
                <w:sz w:val="20"/>
                <w:szCs w:val="20"/>
              </w:rPr>
              <w:t xml:space="preserve">, Pitalito, San Agustín, Tesalia, </w:t>
            </w:r>
            <w:proofErr w:type="spellStart"/>
            <w:r w:rsidRPr="000563E9">
              <w:rPr>
                <w:rFonts w:asciiTheme="majorHAnsi" w:hAnsiTheme="majorHAnsi" w:cstheme="majorHAnsi"/>
                <w:sz w:val="20"/>
                <w:szCs w:val="20"/>
              </w:rPr>
              <w:t>Villavieja</w:t>
            </w:r>
            <w:proofErr w:type="spellEnd"/>
            <w:r w:rsidRPr="000563E9">
              <w:rPr>
                <w:rFonts w:asciiTheme="majorHAnsi" w:hAnsiTheme="majorHAnsi" w:cstheme="majorHAnsi"/>
                <w:sz w:val="20"/>
                <w:szCs w:val="20"/>
              </w:rPr>
              <w:t>, Yaguará, Palermo y Rivera del departamento del Huila. </w:t>
            </w:r>
          </w:p>
          <w:p w14:paraId="49AA021D" w14:textId="77777777" w:rsidR="00811B8C" w:rsidRPr="000563E9" w:rsidRDefault="00811B8C" w:rsidP="00FE4C6B">
            <w:pPr>
              <w:jc w:val="both"/>
              <w:rPr>
                <w:rFonts w:asciiTheme="majorHAnsi" w:hAnsiTheme="majorHAnsi" w:cstheme="majorHAnsi"/>
                <w:sz w:val="20"/>
                <w:szCs w:val="20"/>
              </w:rPr>
            </w:pPr>
          </w:p>
        </w:tc>
        <w:tc>
          <w:tcPr>
            <w:tcW w:w="3402" w:type="dxa"/>
          </w:tcPr>
          <w:p w14:paraId="17EB0D22" w14:textId="77777777" w:rsidR="00D32698" w:rsidRPr="000563E9" w:rsidRDefault="00D32698"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 xml:space="preserve">ARTÍCULO 5o. </w:t>
            </w:r>
            <w:r w:rsidRPr="000563E9">
              <w:rPr>
                <w:rFonts w:asciiTheme="majorHAnsi" w:eastAsia="Times New Roman" w:hAnsiTheme="majorHAnsi" w:cstheme="majorHAnsi"/>
                <w:sz w:val="20"/>
                <w:szCs w:val="20"/>
                <w:highlight w:val="white"/>
              </w:rPr>
              <w:t xml:space="preserve">Modifíquese el artículo 6 de la ley 80 de 1993, el cual quedará así: </w:t>
            </w:r>
          </w:p>
          <w:p w14:paraId="2F638F65" w14:textId="77777777" w:rsidR="00D32698" w:rsidRPr="000563E9" w:rsidRDefault="00D32698" w:rsidP="00FE4C6B">
            <w:pPr>
              <w:jc w:val="both"/>
              <w:rPr>
                <w:rFonts w:asciiTheme="majorHAnsi" w:eastAsia="Times New Roman" w:hAnsiTheme="majorHAnsi" w:cstheme="majorHAnsi"/>
                <w:sz w:val="20"/>
                <w:szCs w:val="20"/>
                <w:highlight w:val="white"/>
              </w:rPr>
            </w:pPr>
          </w:p>
          <w:p w14:paraId="1980D875" w14:textId="77777777" w:rsidR="00D32698" w:rsidRPr="000563E9" w:rsidRDefault="00D32698"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6o. DE LA CAPACIDAD PARA CONTRATAR.</w:t>
            </w:r>
            <w:r w:rsidRPr="000563E9">
              <w:rPr>
                <w:rFonts w:asciiTheme="majorHAnsi" w:eastAsia="Times New Roman" w:hAnsiTheme="majorHAnsi" w:cstheme="majorHAnsi"/>
                <w:sz w:val="20"/>
                <w:szCs w:val="20"/>
                <w:highlight w:val="white"/>
              </w:rPr>
              <w:t xml:space="preserve">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r w:rsidRPr="000563E9">
              <w:rPr>
                <w:rFonts w:asciiTheme="majorHAnsi" w:eastAsia="Times New Roman" w:hAnsiTheme="majorHAnsi" w:cstheme="majorHAnsi"/>
                <w:b/>
                <w:i/>
                <w:sz w:val="20"/>
                <w:szCs w:val="20"/>
                <w:highlight w:val="white"/>
                <w:u w:val="single"/>
              </w:rPr>
              <w:t xml:space="preserve">las Juntas de Acción Comunal en el marco de la ley 1150 de 2007 y de la ley 2166 de 2021 y las Alianzas Público-Populares. </w:t>
            </w:r>
          </w:p>
          <w:p w14:paraId="7EFCADE8" w14:textId="77777777" w:rsidR="00D32698" w:rsidRPr="000563E9" w:rsidRDefault="00D32698" w:rsidP="00FE4C6B">
            <w:pPr>
              <w:jc w:val="both"/>
              <w:rPr>
                <w:rFonts w:asciiTheme="majorHAnsi" w:eastAsia="Times New Roman" w:hAnsiTheme="majorHAnsi" w:cstheme="majorHAnsi"/>
                <w:sz w:val="20"/>
                <w:szCs w:val="20"/>
                <w:highlight w:val="white"/>
              </w:rPr>
            </w:pPr>
          </w:p>
          <w:p w14:paraId="3EA8A055" w14:textId="77777777" w:rsidR="00D32698" w:rsidRPr="000563E9" w:rsidRDefault="00D32698"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w:t>
            </w:r>
          </w:p>
          <w:p w14:paraId="4E7756F3" w14:textId="77777777" w:rsidR="00D32698" w:rsidRPr="000563E9" w:rsidRDefault="00D32698" w:rsidP="00FE4C6B">
            <w:pPr>
              <w:jc w:val="both"/>
              <w:rPr>
                <w:rFonts w:asciiTheme="majorHAnsi" w:eastAsia="Times New Roman" w:hAnsiTheme="majorHAnsi" w:cstheme="majorHAnsi"/>
                <w:sz w:val="20"/>
                <w:szCs w:val="20"/>
                <w:highlight w:val="white"/>
              </w:rPr>
            </w:pPr>
          </w:p>
          <w:p w14:paraId="534F809E" w14:textId="77777777" w:rsidR="00D32698" w:rsidRPr="000563E9" w:rsidRDefault="00D32698"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Las personas jurídicas nacionales y extranjeras deberán acreditar que su duración no será inferior a la del plazo del contrato y un año más.</w:t>
            </w:r>
          </w:p>
          <w:p w14:paraId="1A2001A8" w14:textId="77777777" w:rsidR="00811B8C" w:rsidRPr="000563E9" w:rsidRDefault="00811B8C" w:rsidP="00FE4C6B">
            <w:pPr>
              <w:jc w:val="both"/>
              <w:rPr>
                <w:rFonts w:asciiTheme="majorHAnsi" w:hAnsiTheme="majorHAnsi" w:cstheme="majorHAnsi"/>
                <w:sz w:val="20"/>
                <w:szCs w:val="20"/>
              </w:rPr>
            </w:pPr>
          </w:p>
        </w:tc>
        <w:tc>
          <w:tcPr>
            <w:tcW w:w="6055" w:type="dxa"/>
          </w:tcPr>
          <w:p w14:paraId="54D9949F" w14:textId="0D3E7ED5" w:rsidR="00811B8C" w:rsidRPr="000563E9" w:rsidRDefault="00552956" w:rsidP="00FE4C6B">
            <w:pPr>
              <w:jc w:val="both"/>
              <w:rPr>
                <w:rFonts w:asciiTheme="majorHAnsi" w:hAnsiTheme="majorHAnsi" w:cstheme="majorHAnsi"/>
                <w:sz w:val="20"/>
                <w:szCs w:val="20"/>
              </w:rPr>
            </w:pPr>
            <w:r w:rsidRPr="000563E9">
              <w:rPr>
                <w:rFonts w:asciiTheme="majorHAnsi" w:hAnsiTheme="majorHAnsi" w:cstheme="majorHAnsi"/>
                <w:sz w:val="20"/>
                <w:szCs w:val="20"/>
              </w:rPr>
              <w:t>Respecto a la inclusión de las juntas de acción comunal se trata de un cambio inocuo, toda vez que “Pueden celebrar contratos con las entidades estatales las personas consideradas legalmente capaces en las disposiciones vigentes”, sin que se encuentren excluidas las</w:t>
            </w:r>
            <w:r w:rsidR="004C426C" w:rsidRPr="000563E9">
              <w:rPr>
                <w:rFonts w:asciiTheme="majorHAnsi" w:hAnsiTheme="majorHAnsi" w:cstheme="majorHAnsi"/>
                <w:sz w:val="20"/>
                <w:szCs w:val="20"/>
              </w:rPr>
              <w:t xml:space="preserve"> citadas</w:t>
            </w:r>
            <w:r w:rsidRPr="000563E9">
              <w:rPr>
                <w:rFonts w:asciiTheme="majorHAnsi" w:hAnsiTheme="majorHAnsi" w:cstheme="majorHAnsi"/>
                <w:sz w:val="20"/>
                <w:szCs w:val="20"/>
              </w:rPr>
              <w:t xml:space="preserve"> juntas.</w:t>
            </w:r>
          </w:p>
          <w:p w14:paraId="1799C2F9" w14:textId="77777777" w:rsidR="00552956" w:rsidRPr="000563E9" w:rsidRDefault="00552956" w:rsidP="00FE4C6B">
            <w:pPr>
              <w:jc w:val="both"/>
              <w:rPr>
                <w:rFonts w:asciiTheme="majorHAnsi" w:hAnsiTheme="majorHAnsi" w:cstheme="majorHAnsi"/>
                <w:sz w:val="20"/>
                <w:szCs w:val="20"/>
              </w:rPr>
            </w:pPr>
          </w:p>
          <w:p w14:paraId="1305774B" w14:textId="77777777" w:rsidR="0077073D" w:rsidRPr="000563E9" w:rsidRDefault="0077073D" w:rsidP="00FE4C6B">
            <w:pPr>
              <w:jc w:val="both"/>
              <w:rPr>
                <w:rFonts w:asciiTheme="majorHAnsi" w:hAnsiTheme="majorHAnsi" w:cstheme="majorHAnsi"/>
                <w:sz w:val="20"/>
                <w:szCs w:val="20"/>
              </w:rPr>
            </w:pPr>
            <w:r w:rsidRPr="000563E9">
              <w:rPr>
                <w:rFonts w:asciiTheme="majorHAnsi" w:hAnsiTheme="majorHAnsi" w:cstheme="majorHAnsi"/>
                <w:sz w:val="20"/>
                <w:szCs w:val="20"/>
              </w:rPr>
              <w:t>Distinta consideración merece la inclusión de las denominadas alianzas público</w:t>
            </w:r>
            <w:r w:rsidRPr="000563E9">
              <w:rPr>
                <w:rFonts w:asciiTheme="majorHAnsi" w:hAnsiTheme="majorHAnsi" w:cstheme="majorHAnsi"/>
                <w:sz w:val="20"/>
                <w:szCs w:val="20"/>
              </w:rPr>
              <w:noBreakHyphen/>
              <w:t>populares, frente a las cuales el Congreso de la República debe valorar, al menos, dos elementos centrales:</w:t>
            </w:r>
          </w:p>
          <w:p w14:paraId="41EB8839" w14:textId="77777777" w:rsidR="00BB7FF2" w:rsidRPr="000563E9" w:rsidRDefault="00BB7FF2" w:rsidP="00FE4C6B">
            <w:pPr>
              <w:jc w:val="both"/>
              <w:rPr>
                <w:rFonts w:asciiTheme="majorHAnsi" w:hAnsiTheme="majorHAnsi" w:cstheme="majorHAnsi"/>
                <w:sz w:val="20"/>
                <w:szCs w:val="20"/>
              </w:rPr>
            </w:pPr>
          </w:p>
          <w:p w14:paraId="541BE017" w14:textId="77777777" w:rsidR="00BB7FF2" w:rsidRDefault="00BB7FF2" w:rsidP="00FE4C6B">
            <w:pPr>
              <w:jc w:val="both"/>
              <w:rPr>
                <w:rFonts w:asciiTheme="majorHAnsi" w:hAnsiTheme="majorHAnsi" w:cstheme="majorHAnsi"/>
                <w:b/>
                <w:bCs/>
                <w:sz w:val="20"/>
                <w:szCs w:val="20"/>
              </w:rPr>
            </w:pPr>
            <w:r w:rsidRPr="000563E9">
              <w:rPr>
                <w:rFonts w:asciiTheme="majorHAnsi" w:hAnsiTheme="majorHAnsi" w:cstheme="majorHAnsi"/>
                <w:b/>
                <w:bCs/>
                <w:sz w:val="20"/>
                <w:szCs w:val="20"/>
              </w:rPr>
              <w:t xml:space="preserve">1. </w:t>
            </w:r>
            <w:r w:rsidR="0077073D" w:rsidRPr="000563E9">
              <w:rPr>
                <w:rFonts w:asciiTheme="majorHAnsi" w:hAnsiTheme="majorHAnsi" w:cstheme="majorHAnsi"/>
                <w:b/>
                <w:bCs/>
                <w:sz w:val="20"/>
                <w:szCs w:val="20"/>
              </w:rPr>
              <w:t>Conceptual:</w:t>
            </w:r>
          </w:p>
          <w:p w14:paraId="67A065A4" w14:textId="77777777" w:rsidR="00EB50CD" w:rsidRPr="000563E9" w:rsidRDefault="00EB50CD" w:rsidP="00FE4C6B">
            <w:pPr>
              <w:jc w:val="both"/>
              <w:rPr>
                <w:rFonts w:asciiTheme="majorHAnsi" w:hAnsiTheme="majorHAnsi" w:cstheme="majorHAnsi"/>
                <w:b/>
                <w:bCs/>
                <w:sz w:val="20"/>
                <w:szCs w:val="20"/>
              </w:rPr>
            </w:pPr>
          </w:p>
          <w:p w14:paraId="53BE389C" w14:textId="71F3AC92" w:rsidR="0077073D" w:rsidRDefault="0077073D" w:rsidP="00FE4C6B">
            <w:pPr>
              <w:jc w:val="both"/>
              <w:rPr>
                <w:rFonts w:asciiTheme="majorHAnsi" w:hAnsiTheme="majorHAnsi" w:cstheme="majorHAnsi"/>
                <w:sz w:val="20"/>
                <w:szCs w:val="20"/>
              </w:rPr>
            </w:pPr>
            <w:r w:rsidRPr="000563E9">
              <w:rPr>
                <w:rFonts w:asciiTheme="majorHAnsi" w:hAnsiTheme="majorHAnsi" w:cstheme="majorHAnsi"/>
                <w:sz w:val="20"/>
                <w:szCs w:val="20"/>
              </w:rPr>
              <w:t>Actualmente no existe un cuerpo normativo vigente, sistemático y unívoco que defina con precisión qué debe entenderse por alianza público</w:t>
            </w:r>
            <w:r w:rsidRPr="000563E9">
              <w:rPr>
                <w:rFonts w:asciiTheme="majorHAnsi" w:hAnsiTheme="majorHAnsi" w:cstheme="majorHAnsi"/>
                <w:sz w:val="20"/>
                <w:szCs w:val="20"/>
              </w:rPr>
              <w:noBreakHyphen/>
              <w:t>popular, cuáles son sus elementos estructurales, su naturaleza jurídica, su régimen de responsabilidad, ni su diferenciación frente a otras figuras asociativas reconocidas por el ordenamiento</w:t>
            </w:r>
            <w:r w:rsidR="00BB7FF2" w:rsidRPr="000563E9">
              <w:rPr>
                <w:rFonts w:asciiTheme="majorHAnsi" w:hAnsiTheme="majorHAnsi" w:cstheme="majorHAnsi"/>
                <w:sz w:val="20"/>
                <w:szCs w:val="20"/>
              </w:rPr>
              <w:t xml:space="preserve"> jurídico</w:t>
            </w:r>
            <w:r w:rsidRPr="000563E9">
              <w:rPr>
                <w:rFonts w:asciiTheme="majorHAnsi" w:hAnsiTheme="majorHAnsi" w:cstheme="majorHAnsi"/>
                <w:sz w:val="20"/>
                <w:szCs w:val="20"/>
              </w:rPr>
              <w:t xml:space="preserve">. </w:t>
            </w:r>
          </w:p>
          <w:p w14:paraId="2B60699C" w14:textId="77777777" w:rsidR="00EB50CD" w:rsidRPr="000563E9" w:rsidRDefault="00EB50CD" w:rsidP="00FE4C6B">
            <w:pPr>
              <w:jc w:val="both"/>
              <w:rPr>
                <w:rFonts w:asciiTheme="majorHAnsi" w:hAnsiTheme="majorHAnsi" w:cstheme="majorHAnsi"/>
                <w:sz w:val="20"/>
                <w:szCs w:val="20"/>
              </w:rPr>
            </w:pPr>
          </w:p>
          <w:p w14:paraId="0784CE55" w14:textId="241C8A15" w:rsidR="00BF05CB" w:rsidRPr="000563E9" w:rsidRDefault="00BF05CB" w:rsidP="00FE4C6B">
            <w:pPr>
              <w:jc w:val="both"/>
              <w:rPr>
                <w:rFonts w:asciiTheme="majorHAnsi" w:hAnsiTheme="majorHAnsi" w:cstheme="majorHAnsi"/>
                <w:sz w:val="20"/>
                <w:szCs w:val="20"/>
              </w:rPr>
            </w:pPr>
            <w:r w:rsidRPr="000563E9">
              <w:rPr>
                <w:rFonts w:asciiTheme="majorHAnsi" w:hAnsiTheme="majorHAnsi" w:cstheme="majorHAnsi"/>
                <w:sz w:val="20"/>
                <w:szCs w:val="20"/>
              </w:rPr>
              <w:t>Adicionalmente, la propuesta de definición de la alianza público</w:t>
            </w:r>
            <w:r w:rsidRPr="000563E9">
              <w:rPr>
                <w:rFonts w:asciiTheme="majorHAnsi" w:hAnsiTheme="majorHAnsi" w:cstheme="majorHAnsi"/>
                <w:sz w:val="20"/>
                <w:szCs w:val="20"/>
              </w:rPr>
              <w:noBreakHyphen/>
              <w:t xml:space="preserve">popular que se incluye en el proyecto a su vez contiene conceptos indeterminados como la “economía popular” </w:t>
            </w:r>
            <w:r w:rsidR="00A77539" w:rsidRPr="000563E9">
              <w:rPr>
                <w:rFonts w:asciiTheme="majorHAnsi" w:hAnsiTheme="majorHAnsi" w:cstheme="majorHAnsi"/>
                <w:sz w:val="20"/>
                <w:szCs w:val="20"/>
              </w:rPr>
              <w:t>y el “trabajo que han tenido alrededor de la economía popular”, redundando en los mismos problemas conceptuales.</w:t>
            </w:r>
            <w:r w:rsidR="00A77539" w:rsidRPr="000563E9">
              <w:rPr>
                <w:rFonts w:asciiTheme="majorHAnsi" w:eastAsia="Times New Roman" w:hAnsiTheme="majorHAnsi" w:cstheme="majorHAnsi"/>
                <w:b/>
                <w:i/>
                <w:sz w:val="20"/>
                <w:szCs w:val="20"/>
                <w:u w:val="single"/>
              </w:rPr>
              <w:t xml:space="preserve"> </w:t>
            </w:r>
          </w:p>
          <w:p w14:paraId="57F2847A" w14:textId="77777777" w:rsidR="00BF65DF" w:rsidRPr="000563E9" w:rsidRDefault="00BF65DF" w:rsidP="00FE4C6B">
            <w:pPr>
              <w:jc w:val="both"/>
              <w:rPr>
                <w:rFonts w:asciiTheme="majorHAnsi" w:hAnsiTheme="majorHAnsi" w:cstheme="majorHAnsi"/>
                <w:b/>
                <w:bCs/>
                <w:sz w:val="20"/>
                <w:szCs w:val="20"/>
              </w:rPr>
            </w:pPr>
          </w:p>
          <w:p w14:paraId="2B73DBBD" w14:textId="1EBF8907" w:rsidR="00BF65DF" w:rsidRDefault="00BF65DF" w:rsidP="00FE4C6B">
            <w:pPr>
              <w:jc w:val="both"/>
              <w:rPr>
                <w:rFonts w:asciiTheme="majorHAnsi" w:hAnsiTheme="majorHAnsi" w:cstheme="majorHAnsi"/>
                <w:b/>
                <w:bCs/>
                <w:sz w:val="20"/>
                <w:szCs w:val="20"/>
              </w:rPr>
            </w:pPr>
            <w:r w:rsidRPr="000563E9">
              <w:rPr>
                <w:rFonts w:asciiTheme="majorHAnsi" w:hAnsiTheme="majorHAnsi" w:cstheme="majorHAnsi"/>
                <w:b/>
                <w:bCs/>
                <w:sz w:val="20"/>
                <w:szCs w:val="20"/>
              </w:rPr>
              <w:t xml:space="preserve">2. Constitucional: </w:t>
            </w:r>
          </w:p>
          <w:p w14:paraId="668B0AE5" w14:textId="77777777" w:rsidR="00EB50CD" w:rsidRPr="000563E9" w:rsidRDefault="00EB50CD" w:rsidP="00FE4C6B">
            <w:pPr>
              <w:jc w:val="both"/>
              <w:rPr>
                <w:rFonts w:asciiTheme="majorHAnsi" w:hAnsiTheme="majorHAnsi" w:cstheme="majorHAnsi"/>
                <w:b/>
                <w:bCs/>
                <w:sz w:val="20"/>
                <w:szCs w:val="20"/>
              </w:rPr>
            </w:pPr>
          </w:p>
          <w:p w14:paraId="438E93A3" w14:textId="4D0BFBDF" w:rsidR="0077073D" w:rsidRPr="000563E9" w:rsidRDefault="0077073D"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Sobre </w:t>
            </w:r>
            <w:r w:rsidR="006314D8" w:rsidRPr="000563E9">
              <w:rPr>
                <w:rFonts w:asciiTheme="majorHAnsi" w:hAnsiTheme="majorHAnsi" w:cstheme="majorHAnsi"/>
                <w:sz w:val="20"/>
                <w:szCs w:val="20"/>
              </w:rPr>
              <w:t xml:space="preserve">estas </w:t>
            </w:r>
            <w:r w:rsidR="00621E43" w:rsidRPr="000563E9">
              <w:rPr>
                <w:rFonts w:asciiTheme="majorHAnsi" w:hAnsiTheme="majorHAnsi" w:cstheme="majorHAnsi"/>
                <w:sz w:val="20"/>
                <w:szCs w:val="20"/>
              </w:rPr>
              <w:t>alianzas público</w:t>
            </w:r>
            <w:r w:rsidR="00621E43" w:rsidRPr="000563E9">
              <w:rPr>
                <w:rFonts w:asciiTheme="majorHAnsi" w:hAnsiTheme="majorHAnsi" w:cstheme="majorHAnsi"/>
                <w:sz w:val="20"/>
                <w:szCs w:val="20"/>
              </w:rPr>
              <w:noBreakHyphen/>
              <w:t>populares</w:t>
            </w:r>
            <w:r w:rsidR="00DC311C" w:rsidRPr="000563E9">
              <w:rPr>
                <w:rFonts w:asciiTheme="majorHAnsi" w:hAnsiTheme="majorHAnsi" w:cstheme="majorHAnsi"/>
                <w:sz w:val="20"/>
                <w:szCs w:val="20"/>
              </w:rPr>
              <w:t xml:space="preserve"> y la aplicación de la modalidad de contratación directa</w:t>
            </w:r>
            <w:r w:rsidRPr="000563E9">
              <w:rPr>
                <w:rFonts w:asciiTheme="majorHAnsi" w:hAnsiTheme="majorHAnsi" w:cstheme="majorHAnsi"/>
                <w:sz w:val="20"/>
                <w:szCs w:val="20"/>
              </w:rPr>
              <w:t xml:space="preserve">, la </w:t>
            </w:r>
            <w:r w:rsidR="006314D8" w:rsidRPr="000563E9">
              <w:rPr>
                <w:rFonts w:asciiTheme="majorHAnsi" w:hAnsiTheme="majorHAnsi" w:cstheme="majorHAnsi"/>
                <w:sz w:val="20"/>
                <w:szCs w:val="20"/>
              </w:rPr>
              <w:t>Corte Constitucional determinó su inconstitucionalidad</w:t>
            </w:r>
            <w:r w:rsidR="00E318CF" w:rsidRPr="000563E9">
              <w:rPr>
                <w:rFonts w:asciiTheme="majorHAnsi" w:hAnsiTheme="majorHAnsi" w:cstheme="majorHAnsi"/>
                <w:sz w:val="20"/>
                <w:szCs w:val="20"/>
              </w:rPr>
              <w:t xml:space="preserve"> de</w:t>
            </w:r>
            <w:r w:rsidR="00DF6E13" w:rsidRPr="000563E9">
              <w:rPr>
                <w:rFonts w:asciiTheme="majorHAnsi" w:hAnsiTheme="majorHAnsi" w:cstheme="majorHAnsi"/>
                <w:sz w:val="20"/>
                <w:szCs w:val="20"/>
              </w:rPr>
              <w:t xml:space="preserve"> los</w:t>
            </w:r>
            <w:r w:rsidR="00E318CF" w:rsidRPr="000563E9">
              <w:rPr>
                <w:rFonts w:asciiTheme="majorHAnsi" w:hAnsiTheme="majorHAnsi" w:cstheme="majorHAnsi"/>
                <w:sz w:val="20"/>
                <w:szCs w:val="20"/>
              </w:rPr>
              <w:t xml:space="preserve"> </w:t>
            </w:r>
            <w:r w:rsidR="004C426C" w:rsidRPr="000563E9">
              <w:rPr>
                <w:rFonts w:asciiTheme="majorHAnsi" w:hAnsiTheme="majorHAnsi" w:cstheme="majorHAnsi"/>
                <w:sz w:val="20"/>
                <w:szCs w:val="20"/>
              </w:rPr>
              <w:t>a</w:t>
            </w:r>
            <w:r w:rsidR="00E318CF" w:rsidRPr="000563E9">
              <w:rPr>
                <w:rFonts w:asciiTheme="majorHAnsi" w:hAnsiTheme="majorHAnsi" w:cstheme="majorHAnsi"/>
                <w:sz w:val="20"/>
                <w:szCs w:val="20"/>
              </w:rPr>
              <w:t>rtículo</w:t>
            </w:r>
            <w:r w:rsidR="004C426C" w:rsidRPr="000563E9">
              <w:rPr>
                <w:rFonts w:asciiTheme="majorHAnsi" w:hAnsiTheme="majorHAnsi" w:cstheme="majorHAnsi"/>
                <w:sz w:val="20"/>
                <w:szCs w:val="20"/>
              </w:rPr>
              <w:t xml:space="preserve">s 100 y </w:t>
            </w:r>
            <w:r w:rsidR="00E318CF" w:rsidRPr="000563E9">
              <w:rPr>
                <w:rFonts w:asciiTheme="majorHAnsi" w:hAnsiTheme="majorHAnsi" w:cstheme="majorHAnsi"/>
                <w:sz w:val="20"/>
                <w:szCs w:val="20"/>
              </w:rPr>
              <w:t>101 de la Ley 2294 de 2023</w:t>
            </w:r>
            <w:r w:rsidR="006314D8" w:rsidRPr="000563E9">
              <w:rPr>
                <w:rFonts w:asciiTheme="majorHAnsi" w:hAnsiTheme="majorHAnsi" w:cstheme="majorHAnsi"/>
                <w:sz w:val="20"/>
                <w:szCs w:val="20"/>
              </w:rPr>
              <w:t xml:space="preserve"> </w:t>
            </w:r>
            <w:r w:rsidR="00DC311C" w:rsidRPr="000563E9">
              <w:rPr>
                <w:rFonts w:asciiTheme="majorHAnsi" w:hAnsiTheme="majorHAnsi" w:cstheme="majorHAnsi"/>
                <w:sz w:val="20"/>
                <w:szCs w:val="20"/>
              </w:rPr>
              <w:t>en el mes de febrero de 2026.</w:t>
            </w:r>
          </w:p>
          <w:p w14:paraId="451EE11E" w14:textId="77777777" w:rsidR="00552956" w:rsidRPr="000563E9" w:rsidRDefault="00552956" w:rsidP="00FE4C6B">
            <w:pPr>
              <w:jc w:val="both"/>
              <w:rPr>
                <w:rFonts w:asciiTheme="majorHAnsi" w:hAnsiTheme="majorHAnsi" w:cstheme="majorHAnsi"/>
                <w:sz w:val="20"/>
                <w:szCs w:val="20"/>
              </w:rPr>
            </w:pPr>
          </w:p>
          <w:p w14:paraId="58EC4BD1" w14:textId="0AE69022" w:rsidR="00552956" w:rsidRPr="000563E9" w:rsidRDefault="00552956" w:rsidP="00FE4C6B">
            <w:pPr>
              <w:jc w:val="both"/>
              <w:rPr>
                <w:rFonts w:asciiTheme="majorHAnsi" w:hAnsiTheme="majorHAnsi" w:cstheme="majorHAnsi"/>
                <w:sz w:val="20"/>
                <w:szCs w:val="20"/>
              </w:rPr>
            </w:pPr>
          </w:p>
        </w:tc>
      </w:tr>
      <w:tr w:rsidR="00811B8C" w:rsidRPr="000563E9" w14:paraId="01E4497E" w14:textId="77777777" w:rsidTr="00BA78F5">
        <w:tc>
          <w:tcPr>
            <w:tcW w:w="3539" w:type="dxa"/>
          </w:tcPr>
          <w:p w14:paraId="1E5B45AC" w14:textId="77777777" w:rsidR="00811B8C" w:rsidRPr="000563E9" w:rsidRDefault="00A44CF6"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7o. ENTIDADES A CONTRATAR.</w:t>
            </w:r>
            <w:r w:rsidRPr="000563E9">
              <w:rPr>
                <w:rFonts w:asciiTheme="majorHAnsi" w:hAnsiTheme="majorHAnsi" w:cstheme="majorHAnsi"/>
                <w:sz w:val="20"/>
                <w:szCs w:val="20"/>
              </w:rPr>
              <w:t> Para los efectos de esta ley se entiende por:  </w:t>
            </w:r>
          </w:p>
          <w:p w14:paraId="200C4C4A" w14:textId="77777777" w:rsidR="00A44CF6" w:rsidRPr="000563E9" w:rsidRDefault="00A44CF6" w:rsidP="00FE4C6B">
            <w:pPr>
              <w:jc w:val="both"/>
              <w:rPr>
                <w:rFonts w:asciiTheme="majorHAnsi" w:hAnsiTheme="majorHAnsi" w:cstheme="majorHAnsi"/>
                <w:sz w:val="20"/>
                <w:szCs w:val="20"/>
              </w:rPr>
            </w:pPr>
            <w:r w:rsidRPr="000563E9">
              <w:rPr>
                <w:rFonts w:asciiTheme="majorHAnsi" w:hAnsiTheme="majorHAnsi" w:cstheme="majorHAnsi"/>
                <w:sz w:val="20"/>
                <w:szCs w:val="20"/>
              </w:rPr>
              <w:t>(…)</w:t>
            </w:r>
          </w:p>
          <w:p w14:paraId="32833B35" w14:textId="77777777" w:rsidR="00A44CF6" w:rsidRPr="000563E9" w:rsidRDefault="00ED3929" w:rsidP="00FE4C6B">
            <w:pPr>
              <w:jc w:val="both"/>
              <w:rPr>
                <w:rFonts w:asciiTheme="majorHAnsi" w:hAnsiTheme="majorHAnsi" w:cstheme="majorHAnsi"/>
                <w:sz w:val="20"/>
                <w:szCs w:val="20"/>
              </w:rPr>
            </w:pPr>
            <w:r w:rsidRPr="000563E9">
              <w:rPr>
                <w:rFonts w:asciiTheme="majorHAnsi" w:hAnsiTheme="majorHAnsi" w:cstheme="majorHAnsi"/>
                <w:b/>
                <w:bCs/>
                <w:sz w:val="20"/>
                <w:szCs w:val="20"/>
              </w:rPr>
              <w:t>7.</w:t>
            </w:r>
            <w:r w:rsidRPr="000563E9">
              <w:rPr>
                <w:rFonts w:asciiTheme="majorHAnsi" w:hAnsiTheme="majorHAnsi" w:cstheme="majorHAnsi"/>
                <w:sz w:val="20"/>
                <w:szCs w:val="20"/>
              </w:rPr>
              <w:t>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p>
          <w:p w14:paraId="4540D310" w14:textId="48487159" w:rsidR="00ED3929" w:rsidRPr="000563E9" w:rsidRDefault="00ED3929" w:rsidP="00FE4C6B">
            <w:pPr>
              <w:jc w:val="both"/>
              <w:rPr>
                <w:rFonts w:asciiTheme="majorHAnsi" w:hAnsiTheme="majorHAnsi" w:cstheme="majorHAnsi"/>
                <w:sz w:val="20"/>
                <w:szCs w:val="20"/>
              </w:rPr>
            </w:pPr>
            <w:r w:rsidRPr="000563E9">
              <w:rPr>
                <w:rFonts w:asciiTheme="majorHAnsi" w:hAnsiTheme="majorHAnsi" w:cstheme="majorHAnsi"/>
                <w:sz w:val="20"/>
                <w:szCs w:val="20"/>
              </w:rPr>
              <w:t>No existen los numerales 10 y 11 del Proyecto.</w:t>
            </w:r>
          </w:p>
        </w:tc>
        <w:tc>
          <w:tcPr>
            <w:tcW w:w="3402" w:type="dxa"/>
          </w:tcPr>
          <w:p w14:paraId="02A6202F" w14:textId="77777777" w:rsidR="009C53B1" w:rsidRPr="000563E9" w:rsidRDefault="009C53B1"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6o.</w:t>
            </w:r>
            <w:r w:rsidRPr="000563E9">
              <w:rPr>
                <w:rFonts w:asciiTheme="majorHAnsi" w:eastAsia="Times New Roman" w:hAnsiTheme="majorHAnsi" w:cstheme="majorHAnsi"/>
                <w:sz w:val="20"/>
                <w:szCs w:val="20"/>
                <w:highlight w:val="white"/>
              </w:rPr>
              <w:t xml:space="preserve"> Modifíquese el numeral 7 y adiciónese los numerales 10 y 11 del artículo 7 de la ley 80 de 1993, el cual quedará así: </w:t>
            </w:r>
          </w:p>
          <w:p w14:paraId="3A2D4D2B" w14:textId="77777777" w:rsidR="009C53B1" w:rsidRPr="000563E9" w:rsidRDefault="009C53B1" w:rsidP="00FE4C6B">
            <w:pPr>
              <w:jc w:val="both"/>
              <w:rPr>
                <w:rFonts w:asciiTheme="majorHAnsi" w:eastAsia="Times New Roman" w:hAnsiTheme="majorHAnsi" w:cstheme="majorHAnsi"/>
                <w:sz w:val="20"/>
                <w:szCs w:val="20"/>
                <w:highlight w:val="white"/>
              </w:rPr>
            </w:pPr>
          </w:p>
          <w:p w14:paraId="76F636E6" w14:textId="77777777" w:rsidR="009C53B1" w:rsidRPr="000563E9" w:rsidRDefault="009C53B1" w:rsidP="00FE4C6B">
            <w:pPr>
              <w:jc w:val="both"/>
              <w:rPr>
                <w:rFonts w:asciiTheme="majorHAnsi" w:eastAsia="Times New Roman" w:hAnsiTheme="majorHAnsi" w:cstheme="majorHAnsi"/>
                <w:b/>
                <w:sz w:val="20"/>
                <w:szCs w:val="20"/>
                <w:highlight w:val="white"/>
              </w:rPr>
            </w:pPr>
            <w:r w:rsidRPr="000563E9">
              <w:rPr>
                <w:rFonts w:asciiTheme="majorHAnsi" w:eastAsia="Times New Roman" w:hAnsiTheme="majorHAnsi" w:cstheme="majorHAnsi"/>
                <w:b/>
                <w:sz w:val="20"/>
                <w:szCs w:val="20"/>
                <w:highlight w:val="white"/>
              </w:rPr>
              <w:t xml:space="preserve">“ARTÍCULO 7o. ENTIDADES A CONTRATAR. </w:t>
            </w:r>
          </w:p>
          <w:p w14:paraId="5EA502F3" w14:textId="77777777" w:rsidR="009C53B1" w:rsidRPr="000563E9" w:rsidRDefault="009C53B1" w:rsidP="00FE4C6B">
            <w:pPr>
              <w:jc w:val="both"/>
              <w:rPr>
                <w:rFonts w:asciiTheme="majorHAnsi" w:eastAsia="Times New Roman" w:hAnsiTheme="majorHAnsi" w:cstheme="majorHAnsi"/>
                <w:sz w:val="20"/>
                <w:szCs w:val="20"/>
                <w:highlight w:val="white"/>
              </w:rPr>
            </w:pPr>
          </w:p>
          <w:p w14:paraId="7B6F059B" w14:textId="77777777" w:rsidR="009C53B1" w:rsidRPr="000563E9" w:rsidRDefault="009C53B1"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p>
          <w:p w14:paraId="6D3709A3" w14:textId="77777777" w:rsidR="009C53B1" w:rsidRPr="000563E9" w:rsidRDefault="009C53B1" w:rsidP="00FE4C6B">
            <w:pPr>
              <w:jc w:val="both"/>
              <w:rPr>
                <w:rFonts w:asciiTheme="majorHAnsi" w:eastAsia="Times New Roman" w:hAnsiTheme="majorHAnsi" w:cstheme="majorHAnsi"/>
                <w:sz w:val="20"/>
                <w:szCs w:val="20"/>
                <w:highlight w:val="white"/>
              </w:rPr>
            </w:pPr>
          </w:p>
          <w:p w14:paraId="737995A4" w14:textId="77777777" w:rsidR="009C53B1" w:rsidRPr="000563E9" w:rsidRDefault="009C53B1"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sz w:val="20"/>
                <w:szCs w:val="20"/>
                <w:highlight w:val="white"/>
              </w:rPr>
              <w:t xml:space="preserve">7.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r w:rsidRPr="000563E9">
              <w:rPr>
                <w:rFonts w:asciiTheme="majorHAnsi" w:eastAsia="Times New Roman" w:hAnsiTheme="majorHAnsi" w:cstheme="majorHAnsi"/>
                <w:b/>
                <w:i/>
                <w:sz w:val="20"/>
                <w:szCs w:val="20"/>
                <w:highlight w:val="white"/>
                <w:u w:val="single"/>
              </w:rPr>
              <w:t>Debe garantizarse, cinco años o más de experiencia, o si es mínima cuantía.</w:t>
            </w:r>
          </w:p>
          <w:p w14:paraId="1A6EB648" w14:textId="77777777" w:rsidR="009C53B1" w:rsidRPr="000563E9" w:rsidRDefault="009C53B1" w:rsidP="00FE4C6B">
            <w:pPr>
              <w:jc w:val="both"/>
              <w:rPr>
                <w:rFonts w:asciiTheme="majorHAnsi" w:eastAsia="Times New Roman" w:hAnsiTheme="majorHAnsi" w:cstheme="majorHAnsi"/>
                <w:sz w:val="20"/>
                <w:szCs w:val="20"/>
                <w:highlight w:val="white"/>
              </w:rPr>
            </w:pPr>
          </w:p>
          <w:p w14:paraId="2453ABD2" w14:textId="77777777" w:rsidR="009C53B1" w:rsidRPr="000563E9" w:rsidRDefault="009C53B1"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10. Juntas de acción comunal. se entenderá como acción comunal la expresión social organizada, autónoma, multiétnica, multicultural, solidaria, defensora de los Derechos Humanos, la comunidad, el medio ambiente y la sociedad civil, cuyo propósito es promover la convivencia pacífica, la reconciliación y la construcción de paz, así como el desarrollo integral, sostenible y sustentable de la comunidad, a partir del ejercicio de la democracia participativa. (ley 2166 de 2021).</w:t>
            </w:r>
          </w:p>
          <w:p w14:paraId="38F34B97" w14:textId="77777777" w:rsidR="009C53B1" w:rsidRPr="000563E9" w:rsidRDefault="009C53B1" w:rsidP="00FE4C6B">
            <w:pPr>
              <w:jc w:val="both"/>
              <w:rPr>
                <w:rFonts w:asciiTheme="majorHAnsi" w:eastAsia="Times New Roman" w:hAnsiTheme="majorHAnsi" w:cstheme="majorHAnsi"/>
                <w:b/>
                <w:i/>
                <w:sz w:val="20"/>
                <w:szCs w:val="20"/>
                <w:highlight w:val="white"/>
                <w:u w:val="single"/>
              </w:rPr>
            </w:pPr>
          </w:p>
          <w:p w14:paraId="68A7B173" w14:textId="77777777" w:rsidR="009C53B1" w:rsidRPr="000563E9" w:rsidRDefault="009C53B1"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11. Alianzas público-populares: es cualquier, asociación, organización o colectividad, cuyo objetivo principal es la solución de necesidades esenciales o de garantizar derechos mediante la economía popular, desarrollado en un espacio territorial público o privado.</w:t>
            </w:r>
          </w:p>
          <w:p w14:paraId="044F8191" w14:textId="77777777" w:rsidR="009C53B1" w:rsidRPr="000563E9" w:rsidRDefault="009C53B1"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Para que se configuren estas alianzas, las asociaciones, organizaciones o colectividades deben comprobar el trabajo que han tenido alrededor de la economía popular.</w:t>
            </w:r>
          </w:p>
          <w:p w14:paraId="62EDD5DE" w14:textId="77777777" w:rsidR="00811B8C" w:rsidRPr="000563E9" w:rsidRDefault="00811B8C" w:rsidP="00FE4C6B">
            <w:pPr>
              <w:jc w:val="both"/>
              <w:rPr>
                <w:rFonts w:asciiTheme="majorHAnsi" w:hAnsiTheme="majorHAnsi" w:cstheme="majorHAnsi"/>
                <w:sz w:val="20"/>
                <w:szCs w:val="20"/>
              </w:rPr>
            </w:pPr>
          </w:p>
        </w:tc>
        <w:tc>
          <w:tcPr>
            <w:tcW w:w="6055" w:type="dxa"/>
          </w:tcPr>
          <w:p w14:paraId="10F68754" w14:textId="77777777" w:rsidR="00F10E71" w:rsidRPr="000563E9" w:rsidRDefault="00F10E71" w:rsidP="00FE4C6B">
            <w:pPr>
              <w:jc w:val="both"/>
              <w:rPr>
                <w:rFonts w:asciiTheme="majorHAnsi" w:hAnsiTheme="majorHAnsi" w:cstheme="majorHAnsi"/>
                <w:sz w:val="20"/>
                <w:szCs w:val="20"/>
              </w:rPr>
            </w:pPr>
            <w:r w:rsidRPr="000563E9">
              <w:rPr>
                <w:rFonts w:asciiTheme="majorHAnsi" w:hAnsiTheme="majorHAnsi" w:cstheme="majorHAnsi"/>
                <w:sz w:val="20"/>
                <w:szCs w:val="20"/>
              </w:rPr>
              <w:t>En el proyecto se propone incorporar una regla de experiencia para las uniones temporales consistente en que “debe garantizarse cinco años o más de experiencia, o si es mínima cuantía”, la cual resulta ambigua e inconsistente por las siguientes razones:</w:t>
            </w:r>
          </w:p>
          <w:p w14:paraId="0071BAB7" w14:textId="77777777" w:rsidR="00F10E71" w:rsidRPr="000563E9" w:rsidRDefault="00F10E71" w:rsidP="00FE4C6B">
            <w:pPr>
              <w:jc w:val="both"/>
              <w:rPr>
                <w:rFonts w:asciiTheme="majorHAnsi" w:hAnsiTheme="majorHAnsi" w:cstheme="majorHAnsi"/>
                <w:sz w:val="20"/>
                <w:szCs w:val="20"/>
              </w:rPr>
            </w:pPr>
          </w:p>
          <w:p w14:paraId="5CB24E79" w14:textId="144733EA" w:rsidR="00F10E71" w:rsidRPr="000563E9" w:rsidRDefault="00F10E71"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1. Las uniones temporales son figuras asociativas que se constituyen para la participación en un proceso de contratación específico; no corresponden a estructuras empresariales o societarias preexistentes. En consecuencia, la exigencia planteada desconoce su naturaleza jurídica, en la medida en que la experiencia no se predica de la unión temporal como tal, sino de los integrantes que la conforman. </w:t>
            </w:r>
          </w:p>
          <w:p w14:paraId="72DAC43E" w14:textId="77777777" w:rsidR="00F10E71" w:rsidRPr="000563E9" w:rsidRDefault="00F10E71" w:rsidP="00FE4C6B">
            <w:pPr>
              <w:jc w:val="both"/>
              <w:rPr>
                <w:rFonts w:asciiTheme="majorHAnsi" w:hAnsiTheme="majorHAnsi" w:cstheme="majorHAnsi"/>
                <w:sz w:val="20"/>
                <w:szCs w:val="20"/>
              </w:rPr>
            </w:pPr>
          </w:p>
          <w:p w14:paraId="3F795132" w14:textId="473B86F0" w:rsidR="00F10E71" w:rsidRPr="000563E9" w:rsidRDefault="00F10E71" w:rsidP="00FE4C6B">
            <w:pPr>
              <w:jc w:val="both"/>
              <w:rPr>
                <w:rFonts w:asciiTheme="majorHAnsi" w:hAnsiTheme="majorHAnsi" w:cstheme="majorHAnsi"/>
                <w:sz w:val="20"/>
                <w:szCs w:val="20"/>
              </w:rPr>
            </w:pPr>
            <w:r w:rsidRPr="000563E9">
              <w:rPr>
                <w:rFonts w:asciiTheme="majorHAnsi" w:hAnsiTheme="majorHAnsi" w:cstheme="majorHAnsi"/>
                <w:sz w:val="20"/>
                <w:szCs w:val="20"/>
              </w:rPr>
              <w:t>2. La imposición de un requisito genérico de experiencia resulta incompatible con el principio de planeación previsto en la Ley 80 de 1993, conforme al cual los requisitos habilitantes deben definirse atendiendo a las particularidades, objeto y riesgos de cada proceso de contratación, y no mediante reglas uniformes y abstractas.</w:t>
            </w:r>
          </w:p>
          <w:p w14:paraId="72FB227F" w14:textId="77777777" w:rsidR="0071267A" w:rsidRPr="000563E9" w:rsidRDefault="0071267A" w:rsidP="00FE4C6B">
            <w:pPr>
              <w:jc w:val="both"/>
              <w:rPr>
                <w:rFonts w:asciiTheme="majorHAnsi" w:hAnsiTheme="majorHAnsi" w:cstheme="majorHAnsi"/>
                <w:sz w:val="20"/>
                <w:szCs w:val="20"/>
              </w:rPr>
            </w:pPr>
          </w:p>
          <w:p w14:paraId="3FC7E84F" w14:textId="54940443" w:rsidR="0071267A" w:rsidRPr="000563E9" w:rsidRDefault="0071267A"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3. No es clara la referencia a la modalidad de selección de mínima cuantía, si pretenden que se aplique la regla genérica de experiencia o no. </w:t>
            </w:r>
          </w:p>
          <w:p w14:paraId="5376B704" w14:textId="77777777" w:rsidR="00CA5089" w:rsidRPr="000563E9" w:rsidRDefault="00CA5089" w:rsidP="00FE4C6B">
            <w:pPr>
              <w:jc w:val="both"/>
              <w:rPr>
                <w:rFonts w:asciiTheme="majorHAnsi" w:hAnsiTheme="majorHAnsi" w:cstheme="majorHAnsi"/>
                <w:sz w:val="20"/>
                <w:szCs w:val="20"/>
              </w:rPr>
            </w:pPr>
          </w:p>
          <w:p w14:paraId="250FBCE7" w14:textId="3E1ED72E" w:rsidR="00CA5089" w:rsidRPr="000563E9" w:rsidRDefault="00CA5089" w:rsidP="00FE4C6B">
            <w:pPr>
              <w:jc w:val="both"/>
              <w:rPr>
                <w:rFonts w:asciiTheme="majorHAnsi" w:hAnsiTheme="majorHAnsi" w:cstheme="majorHAnsi"/>
                <w:b/>
                <w:bCs/>
                <w:sz w:val="20"/>
                <w:szCs w:val="20"/>
              </w:rPr>
            </w:pPr>
            <w:r w:rsidRPr="000563E9">
              <w:rPr>
                <w:rFonts w:asciiTheme="majorHAnsi" w:hAnsiTheme="majorHAnsi" w:cstheme="majorHAnsi"/>
                <w:sz w:val="20"/>
                <w:szCs w:val="20"/>
              </w:rPr>
              <w:t xml:space="preserve">La definición de las Juntas de Acción Comunal es inocua considerando lo ya establecido en la </w:t>
            </w:r>
            <w:r w:rsidR="00423B50" w:rsidRPr="000563E9">
              <w:rPr>
                <w:rFonts w:asciiTheme="majorHAnsi" w:hAnsiTheme="majorHAnsi" w:cstheme="majorHAnsi"/>
                <w:b/>
                <w:bCs/>
                <w:sz w:val="20"/>
                <w:szCs w:val="20"/>
              </w:rPr>
              <w:t>LEY 2166 DE 2021.</w:t>
            </w:r>
          </w:p>
          <w:p w14:paraId="54EF36D3" w14:textId="77777777" w:rsidR="00423B50" w:rsidRPr="000563E9" w:rsidRDefault="00423B50" w:rsidP="00FE4C6B">
            <w:pPr>
              <w:jc w:val="both"/>
              <w:rPr>
                <w:rFonts w:asciiTheme="majorHAnsi" w:hAnsiTheme="majorHAnsi" w:cstheme="majorHAnsi"/>
                <w:sz w:val="20"/>
                <w:szCs w:val="20"/>
              </w:rPr>
            </w:pPr>
          </w:p>
          <w:p w14:paraId="27ACFE1F" w14:textId="64BA6822" w:rsidR="00423B50" w:rsidRPr="000563E9" w:rsidRDefault="00423B50" w:rsidP="00FE4C6B">
            <w:pPr>
              <w:jc w:val="both"/>
              <w:rPr>
                <w:rFonts w:asciiTheme="majorHAnsi" w:hAnsiTheme="majorHAnsi" w:cstheme="majorHAnsi"/>
                <w:sz w:val="20"/>
                <w:szCs w:val="20"/>
              </w:rPr>
            </w:pPr>
            <w:r w:rsidRPr="000563E9">
              <w:rPr>
                <w:rFonts w:asciiTheme="majorHAnsi" w:hAnsiTheme="majorHAnsi" w:cstheme="majorHAnsi"/>
                <w:sz w:val="20"/>
                <w:szCs w:val="20"/>
              </w:rPr>
              <w:t>Finalmente, respecto a las Alianzas público-populares</w:t>
            </w:r>
            <w:r w:rsidR="00EF2F56" w:rsidRPr="000563E9">
              <w:rPr>
                <w:rFonts w:asciiTheme="majorHAnsi" w:hAnsiTheme="majorHAnsi" w:cstheme="majorHAnsi"/>
                <w:sz w:val="20"/>
                <w:szCs w:val="20"/>
              </w:rPr>
              <w:t xml:space="preserve"> en la valoración de la propuesta se sugiere tener en cuenta dos elementos centrales:</w:t>
            </w:r>
          </w:p>
          <w:p w14:paraId="3572215D" w14:textId="77777777" w:rsidR="00EF2F56" w:rsidRPr="000563E9" w:rsidRDefault="00EF2F56" w:rsidP="00FE4C6B">
            <w:pPr>
              <w:jc w:val="both"/>
              <w:rPr>
                <w:rFonts w:asciiTheme="majorHAnsi" w:hAnsiTheme="majorHAnsi" w:cstheme="majorHAnsi"/>
                <w:sz w:val="20"/>
                <w:szCs w:val="20"/>
              </w:rPr>
            </w:pPr>
          </w:p>
          <w:p w14:paraId="7676C6C5" w14:textId="77777777" w:rsidR="00EF2F56" w:rsidRDefault="00EF2F56" w:rsidP="00FE4C6B">
            <w:pPr>
              <w:jc w:val="both"/>
              <w:rPr>
                <w:rFonts w:asciiTheme="majorHAnsi" w:hAnsiTheme="majorHAnsi" w:cstheme="majorHAnsi"/>
                <w:b/>
                <w:bCs/>
                <w:sz w:val="20"/>
                <w:szCs w:val="20"/>
              </w:rPr>
            </w:pPr>
            <w:r w:rsidRPr="000563E9">
              <w:rPr>
                <w:rFonts w:asciiTheme="majorHAnsi" w:hAnsiTheme="majorHAnsi" w:cstheme="majorHAnsi"/>
                <w:b/>
                <w:bCs/>
                <w:sz w:val="20"/>
                <w:szCs w:val="20"/>
              </w:rPr>
              <w:t>1. Conceptual:</w:t>
            </w:r>
          </w:p>
          <w:p w14:paraId="6526BA9B" w14:textId="77777777" w:rsidR="00381E24" w:rsidRPr="000563E9" w:rsidRDefault="00381E24" w:rsidP="00FE4C6B">
            <w:pPr>
              <w:jc w:val="both"/>
              <w:rPr>
                <w:rFonts w:asciiTheme="majorHAnsi" w:hAnsiTheme="majorHAnsi" w:cstheme="majorHAnsi"/>
                <w:b/>
                <w:bCs/>
                <w:sz w:val="20"/>
                <w:szCs w:val="20"/>
              </w:rPr>
            </w:pPr>
          </w:p>
          <w:p w14:paraId="45B4798A" w14:textId="7F9A5063" w:rsidR="00EF2F56" w:rsidRDefault="00EF2F56" w:rsidP="00FE4C6B">
            <w:pPr>
              <w:jc w:val="both"/>
              <w:rPr>
                <w:rFonts w:asciiTheme="majorHAnsi" w:hAnsiTheme="majorHAnsi" w:cstheme="majorHAnsi"/>
                <w:sz w:val="20"/>
                <w:szCs w:val="20"/>
              </w:rPr>
            </w:pPr>
            <w:r w:rsidRPr="000563E9">
              <w:rPr>
                <w:rFonts w:asciiTheme="majorHAnsi" w:hAnsiTheme="majorHAnsi" w:cstheme="majorHAnsi"/>
                <w:sz w:val="20"/>
                <w:szCs w:val="20"/>
              </w:rPr>
              <w:t>Actualmente no existe un cuerpo normativo vigente, sistemático y unívoco que defina con precisión qué debe entenderse por alianza público</w:t>
            </w:r>
            <w:r w:rsidRPr="000563E9">
              <w:rPr>
                <w:rFonts w:asciiTheme="majorHAnsi" w:hAnsiTheme="majorHAnsi" w:cstheme="majorHAnsi"/>
                <w:sz w:val="20"/>
                <w:szCs w:val="20"/>
              </w:rPr>
              <w:noBreakHyphen/>
              <w:t xml:space="preserve">popular, cuáles son sus elementos estructurales, su naturaleza jurídica, su régimen de responsabilidad, ni su diferenciación frente a otras figuras asociativas reconocidas por el ordenamiento jurídico. </w:t>
            </w:r>
          </w:p>
          <w:p w14:paraId="695867FD" w14:textId="77777777" w:rsidR="00381E24" w:rsidRPr="000563E9" w:rsidRDefault="00381E24" w:rsidP="00FE4C6B">
            <w:pPr>
              <w:jc w:val="both"/>
              <w:rPr>
                <w:rFonts w:asciiTheme="majorHAnsi" w:hAnsiTheme="majorHAnsi" w:cstheme="majorHAnsi"/>
                <w:sz w:val="20"/>
                <w:szCs w:val="20"/>
              </w:rPr>
            </w:pPr>
          </w:p>
          <w:p w14:paraId="2E24BD22" w14:textId="77777777" w:rsidR="00EF2F56" w:rsidRPr="000563E9" w:rsidRDefault="00EF2F56" w:rsidP="00FE4C6B">
            <w:pPr>
              <w:jc w:val="both"/>
              <w:rPr>
                <w:rFonts w:asciiTheme="majorHAnsi" w:hAnsiTheme="majorHAnsi" w:cstheme="majorHAnsi"/>
                <w:sz w:val="20"/>
                <w:szCs w:val="20"/>
              </w:rPr>
            </w:pPr>
            <w:r w:rsidRPr="000563E9">
              <w:rPr>
                <w:rFonts w:asciiTheme="majorHAnsi" w:hAnsiTheme="majorHAnsi" w:cstheme="majorHAnsi"/>
                <w:sz w:val="20"/>
                <w:szCs w:val="20"/>
              </w:rPr>
              <w:t>Adicionalmente, la propuesta de definición de la alianza público</w:t>
            </w:r>
            <w:r w:rsidRPr="000563E9">
              <w:rPr>
                <w:rFonts w:asciiTheme="majorHAnsi" w:hAnsiTheme="majorHAnsi" w:cstheme="majorHAnsi"/>
                <w:sz w:val="20"/>
                <w:szCs w:val="20"/>
              </w:rPr>
              <w:noBreakHyphen/>
              <w:t>popular que se incluye en el proyecto a su vez contiene conceptos indeterminados como la “economía popular” y el “trabajo que han tenido alrededor de la economía popular”, redundando en los mismos problemas conceptuales.</w:t>
            </w:r>
            <w:r w:rsidRPr="000563E9">
              <w:rPr>
                <w:rFonts w:asciiTheme="majorHAnsi" w:eastAsia="Times New Roman" w:hAnsiTheme="majorHAnsi" w:cstheme="majorHAnsi"/>
                <w:b/>
                <w:i/>
                <w:sz w:val="20"/>
                <w:szCs w:val="20"/>
                <w:u w:val="single"/>
              </w:rPr>
              <w:t xml:space="preserve"> </w:t>
            </w:r>
          </w:p>
          <w:p w14:paraId="5278860F" w14:textId="77777777" w:rsidR="00EF2F56" w:rsidRPr="000563E9" w:rsidRDefault="00EF2F56" w:rsidP="00FE4C6B">
            <w:pPr>
              <w:jc w:val="both"/>
              <w:rPr>
                <w:rFonts w:asciiTheme="majorHAnsi" w:hAnsiTheme="majorHAnsi" w:cstheme="majorHAnsi"/>
                <w:b/>
                <w:bCs/>
                <w:sz w:val="20"/>
                <w:szCs w:val="20"/>
              </w:rPr>
            </w:pPr>
          </w:p>
          <w:p w14:paraId="74BBDCF1" w14:textId="77777777" w:rsidR="00EF2F56" w:rsidRDefault="00EF2F56" w:rsidP="00FE4C6B">
            <w:pPr>
              <w:jc w:val="both"/>
              <w:rPr>
                <w:rFonts w:asciiTheme="majorHAnsi" w:hAnsiTheme="majorHAnsi" w:cstheme="majorHAnsi"/>
                <w:b/>
                <w:bCs/>
                <w:sz w:val="20"/>
                <w:szCs w:val="20"/>
              </w:rPr>
            </w:pPr>
            <w:r w:rsidRPr="000563E9">
              <w:rPr>
                <w:rFonts w:asciiTheme="majorHAnsi" w:hAnsiTheme="majorHAnsi" w:cstheme="majorHAnsi"/>
                <w:b/>
                <w:bCs/>
                <w:sz w:val="20"/>
                <w:szCs w:val="20"/>
              </w:rPr>
              <w:t xml:space="preserve">2. Constitucional: </w:t>
            </w:r>
          </w:p>
          <w:p w14:paraId="1C63E005" w14:textId="77777777" w:rsidR="00381E24" w:rsidRPr="000563E9" w:rsidRDefault="00381E24" w:rsidP="00FE4C6B">
            <w:pPr>
              <w:jc w:val="both"/>
              <w:rPr>
                <w:rFonts w:asciiTheme="majorHAnsi" w:hAnsiTheme="majorHAnsi" w:cstheme="majorHAnsi"/>
                <w:b/>
                <w:bCs/>
                <w:sz w:val="20"/>
                <w:szCs w:val="20"/>
              </w:rPr>
            </w:pPr>
          </w:p>
          <w:p w14:paraId="6617EE2D" w14:textId="77777777" w:rsidR="00EF2F56" w:rsidRPr="000563E9" w:rsidRDefault="00EF2F56" w:rsidP="00FE4C6B">
            <w:pPr>
              <w:jc w:val="both"/>
              <w:rPr>
                <w:rFonts w:asciiTheme="majorHAnsi" w:hAnsiTheme="majorHAnsi" w:cstheme="majorHAnsi"/>
                <w:sz w:val="20"/>
                <w:szCs w:val="20"/>
              </w:rPr>
            </w:pPr>
            <w:r w:rsidRPr="000563E9">
              <w:rPr>
                <w:rFonts w:asciiTheme="majorHAnsi" w:hAnsiTheme="majorHAnsi" w:cstheme="majorHAnsi"/>
                <w:sz w:val="20"/>
                <w:szCs w:val="20"/>
              </w:rPr>
              <w:t>Sobre estas alianzas público</w:t>
            </w:r>
            <w:r w:rsidRPr="000563E9">
              <w:rPr>
                <w:rFonts w:asciiTheme="majorHAnsi" w:hAnsiTheme="majorHAnsi" w:cstheme="majorHAnsi"/>
                <w:sz w:val="20"/>
                <w:szCs w:val="20"/>
              </w:rPr>
              <w:noBreakHyphen/>
              <w:t>populares y la aplicación de la modalidad de contratación directa, la Corte Constitucional determinó su inconstitucionalidad de los artículos 100 y 101 de la Ley 2294 de 2023 en el mes de febrero de 2026.</w:t>
            </w:r>
          </w:p>
          <w:p w14:paraId="3FA198DD" w14:textId="77777777" w:rsidR="00EF2F56" w:rsidRPr="000563E9" w:rsidRDefault="00EF2F56" w:rsidP="00FE4C6B">
            <w:pPr>
              <w:jc w:val="both"/>
              <w:rPr>
                <w:rFonts w:asciiTheme="majorHAnsi" w:hAnsiTheme="majorHAnsi" w:cstheme="majorHAnsi"/>
                <w:sz w:val="20"/>
                <w:szCs w:val="20"/>
              </w:rPr>
            </w:pPr>
          </w:p>
          <w:p w14:paraId="5932834F" w14:textId="42ECC962" w:rsidR="00811B8C" w:rsidRPr="000563E9" w:rsidRDefault="00811B8C" w:rsidP="00FE4C6B">
            <w:pPr>
              <w:jc w:val="both"/>
              <w:rPr>
                <w:rFonts w:asciiTheme="majorHAnsi" w:hAnsiTheme="majorHAnsi" w:cstheme="majorHAnsi"/>
                <w:sz w:val="20"/>
                <w:szCs w:val="20"/>
              </w:rPr>
            </w:pPr>
          </w:p>
        </w:tc>
      </w:tr>
      <w:tr w:rsidR="00DF6E13" w:rsidRPr="000563E9" w14:paraId="456F48FA" w14:textId="77777777" w:rsidTr="00BA78F5">
        <w:tc>
          <w:tcPr>
            <w:tcW w:w="3539" w:type="dxa"/>
          </w:tcPr>
          <w:p w14:paraId="3B2664C5" w14:textId="77777777" w:rsidR="00DF6E13" w:rsidRPr="000563E9" w:rsidRDefault="00910836"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8o</w:t>
            </w:r>
            <w:r w:rsidRPr="000563E9">
              <w:rPr>
                <w:rFonts w:asciiTheme="majorHAnsi" w:hAnsiTheme="majorHAnsi" w:cstheme="majorHAnsi"/>
                <w:sz w:val="20"/>
                <w:szCs w:val="20"/>
              </w:rPr>
              <w:t>. DE LAS INHABILIDADES E INCOMPATIBILIDADES PARA CONTRATAR.</w:t>
            </w:r>
          </w:p>
          <w:p w14:paraId="2653123D" w14:textId="23082C43" w:rsidR="00ED0A94" w:rsidRPr="000563E9" w:rsidRDefault="00ED0A94" w:rsidP="00FE4C6B">
            <w:pPr>
              <w:jc w:val="both"/>
              <w:rPr>
                <w:rFonts w:asciiTheme="majorHAnsi" w:hAnsiTheme="majorHAnsi" w:cstheme="majorHAnsi"/>
                <w:sz w:val="20"/>
                <w:szCs w:val="20"/>
              </w:rPr>
            </w:pPr>
            <w:r w:rsidRPr="000563E9">
              <w:rPr>
                <w:rFonts w:asciiTheme="majorHAnsi" w:hAnsiTheme="majorHAnsi" w:cstheme="majorHAnsi"/>
                <w:sz w:val="20"/>
                <w:szCs w:val="20"/>
              </w:rPr>
              <w:t>1o. Son inhábiles para participar en licitaciones</w:t>
            </w:r>
            <w:r w:rsidRPr="000563E9">
              <w:rPr>
                <w:rFonts w:asciiTheme="majorHAnsi" w:hAnsiTheme="majorHAnsi" w:cstheme="majorHAnsi"/>
                <w:sz w:val="20"/>
                <w:szCs w:val="20"/>
              </w:rPr>
              <w:t xml:space="preserve"> </w:t>
            </w:r>
            <w:r w:rsidRPr="000563E9">
              <w:rPr>
                <w:rFonts w:asciiTheme="majorHAnsi" w:hAnsiTheme="majorHAnsi" w:cstheme="majorHAnsi"/>
                <w:sz w:val="20"/>
                <w:szCs w:val="20"/>
              </w:rPr>
              <w:t>y para celebrar contratos con las entidades estatales:</w:t>
            </w:r>
          </w:p>
          <w:p w14:paraId="285995D9" w14:textId="77777777" w:rsidR="00910836" w:rsidRPr="000563E9" w:rsidRDefault="00910836" w:rsidP="00FE4C6B">
            <w:pPr>
              <w:jc w:val="both"/>
              <w:rPr>
                <w:rFonts w:asciiTheme="majorHAnsi" w:hAnsiTheme="majorHAnsi" w:cstheme="majorHAnsi"/>
                <w:sz w:val="20"/>
                <w:szCs w:val="20"/>
              </w:rPr>
            </w:pPr>
            <w:r w:rsidRPr="000563E9">
              <w:rPr>
                <w:rFonts w:asciiTheme="majorHAnsi" w:hAnsiTheme="majorHAnsi" w:cstheme="majorHAnsi"/>
                <w:sz w:val="20"/>
                <w:szCs w:val="20"/>
              </w:rPr>
              <w:t>(…)</w:t>
            </w:r>
          </w:p>
          <w:p w14:paraId="2C7C697F" w14:textId="71775F48" w:rsidR="00910836" w:rsidRPr="000563E9" w:rsidRDefault="004A6B83" w:rsidP="00FE4C6B">
            <w:pPr>
              <w:jc w:val="both"/>
              <w:rPr>
                <w:rFonts w:asciiTheme="majorHAnsi" w:hAnsiTheme="majorHAnsi" w:cstheme="majorHAnsi"/>
                <w:sz w:val="20"/>
                <w:szCs w:val="20"/>
              </w:rPr>
            </w:pPr>
            <w:r w:rsidRPr="000563E9">
              <w:rPr>
                <w:rFonts w:asciiTheme="majorHAnsi" w:hAnsiTheme="majorHAnsi" w:cstheme="majorHAnsi"/>
                <w:sz w:val="20"/>
                <w:szCs w:val="20"/>
              </w:rPr>
              <w:t>k) Las personas naturales o jurídicas que hayan financiado campañas políticas a la Presidencia de la República, a las gobernaciones, a las alcaldías o al Congreso de la República, con aportes superiores al dos por ciento (2.0%)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r w:rsidRPr="000563E9">
              <w:rPr>
                <w:rFonts w:asciiTheme="majorHAnsi" w:hAnsiTheme="majorHAnsi" w:cstheme="majorHAnsi"/>
                <w:sz w:val="20"/>
                <w:szCs w:val="20"/>
              </w:rPr>
              <w:br/>
            </w:r>
            <w:r w:rsidRPr="000563E9">
              <w:rPr>
                <w:rFonts w:asciiTheme="majorHAnsi" w:hAnsiTheme="majorHAnsi" w:cstheme="majorHAnsi"/>
                <w:sz w:val="20"/>
                <w:szCs w:val="20"/>
              </w:rPr>
              <w:b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r w:rsidRPr="000563E9">
              <w:rPr>
                <w:rFonts w:asciiTheme="majorHAnsi" w:hAnsiTheme="majorHAnsi" w:cstheme="majorHAnsi"/>
                <w:sz w:val="20"/>
                <w:szCs w:val="20"/>
              </w:rPr>
              <w:br/>
            </w:r>
            <w:r w:rsidRPr="000563E9">
              <w:rPr>
                <w:rFonts w:asciiTheme="majorHAnsi" w:hAnsiTheme="majorHAnsi" w:cstheme="majorHAnsi"/>
                <w:sz w:val="20"/>
                <w:szCs w:val="20"/>
              </w:rPr>
              <w:br/>
              <w:t>Esta inhabilidad comprenderá también a las personas jurídicas en las cuales el representante legal, los miembros de junta directiva o cualquiera de sus socios controlantes hayan financiado directamente o por interpuesta persona campañas políticas a la Presidencia de la República, a las gobernaciones, las alcaldías o al Congreso de la República.</w:t>
            </w:r>
            <w:r w:rsidRPr="000563E9">
              <w:rPr>
                <w:rFonts w:asciiTheme="majorHAnsi" w:hAnsiTheme="majorHAnsi" w:cstheme="majorHAnsi"/>
                <w:sz w:val="20"/>
                <w:szCs w:val="20"/>
              </w:rPr>
              <w:br/>
            </w:r>
            <w:r w:rsidRPr="000563E9">
              <w:rPr>
                <w:rFonts w:asciiTheme="majorHAnsi" w:hAnsiTheme="majorHAnsi" w:cstheme="majorHAnsi"/>
                <w:sz w:val="20"/>
                <w:szCs w:val="20"/>
              </w:rPr>
              <w:br/>
              <w:t>La inhabilidad contemplada en esta norma no se aplicará respecto de los contratos de prestación de servicios profesionales.</w:t>
            </w:r>
          </w:p>
        </w:tc>
        <w:tc>
          <w:tcPr>
            <w:tcW w:w="3402" w:type="dxa"/>
          </w:tcPr>
          <w:p w14:paraId="37179A59"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7o.</w:t>
            </w:r>
            <w:r w:rsidRPr="000563E9">
              <w:rPr>
                <w:rFonts w:asciiTheme="majorHAnsi" w:eastAsia="Times New Roman" w:hAnsiTheme="majorHAnsi" w:cstheme="majorHAnsi"/>
                <w:sz w:val="20"/>
                <w:szCs w:val="20"/>
                <w:highlight w:val="white"/>
              </w:rPr>
              <w:t xml:space="preserve"> Adiciónese los incisos M y N, y modifíquese el K del artículo 8 de la ley 80 de 1993, el cual quedará así: </w:t>
            </w:r>
          </w:p>
          <w:p w14:paraId="1F890926" w14:textId="77777777" w:rsidR="00AC5422" w:rsidRPr="000563E9" w:rsidRDefault="00AC5422" w:rsidP="00FE4C6B">
            <w:pPr>
              <w:jc w:val="both"/>
              <w:rPr>
                <w:rFonts w:asciiTheme="majorHAnsi" w:eastAsia="Times New Roman" w:hAnsiTheme="majorHAnsi" w:cstheme="majorHAnsi"/>
                <w:sz w:val="20"/>
                <w:szCs w:val="20"/>
                <w:highlight w:val="white"/>
              </w:rPr>
            </w:pPr>
          </w:p>
          <w:p w14:paraId="6730AED9" w14:textId="77777777" w:rsidR="00AC5422" w:rsidRPr="000563E9" w:rsidRDefault="00AC5422" w:rsidP="00FE4C6B">
            <w:pPr>
              <w:jc w:val="both"/>
              <w:rPr>
                <w:rFonts w:asciiTheme="majorHAnsi" w:eastAsia="Times New Roman" w:hAnsiTheme="majorHAnsi" w:cstheme="majorHAnsi"/>
                <w:b/>
                <w:sz w:val="20"/>
                <w:szCs w:val="20"/>
                <w:highlight w:val="white"/>
              </w:rPr>
            </w:pPr>
            <w:r w:rsidRPr="000563E9">
              <w:rPr>
                <w:rFonts w:asciiTheme="majorHAnsi" w:eastAsia="Times New Roman" w:hAnsiTheme="majorHAnsi" w:cstheme="majorHAnsi"/>
                <w:b/>
                <w:sz w:val="20"/>
                <w:szCs w:val="20"/>
                <w:highlight w:val="white"/>
              </w:rPr>
              <w:t>“ARTÍCULO 8o. DE LAS INHABILIDADES E INCOMPATIBILIDADES PARA CONTRATAR.</w:t>
            </w:r>
          </w:p>
          <w:p w14:paraId="51B0B5F0" w14:textId="77777777" w:rsidR="00AC5422" w:rsidRPr="000563E9" w:rsidRDefault="00AC5422" w:rsidP="00FE4C6B">
            <w:pPr>
              <w:jc w:val="both"/>
              <w:rPr>
                <w:rFonts w:asciiTheme="majorHAnsi" w:eastAsia="Times New Roman" w:hAnsiTheme="majorHAnsi" w:cstheme="majorHAnsi"/>
                <w:sz w:val="20"/>
                <w:szCs w:val="20"/>
                <w:highlight w:val="white"/>
              </w:rPr>
            </w:pPr>
          </w:p>
          <w:p w14:paraId="0340A2BD"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1o. Son inhábiles para participar en licitaciones y para celebrar contratos con las entidades estatales:</w:t>
            </w:r>
          </w:p>
          <w:p w14:paraId="61AFEB60" w14:textId="77777777" w:rsidR="00AC5422" w:rsidRPr="000563E9" w:rsidRDefault="00AC5422" w:rsidP="00FE4C6B">
            <w:pPr>
              <w:jc w:val="both"/>
              <w:rPr>
                <w:rFonts w:asciiTheme="majorHAnsi" w:eastAsia="Times New Roman" w:hAnsiTheme="majorHAnsi" w:cstheme="majorHAnsi"/>
                <w:sz w:val="20"/>
                <w:szCs w:val="20"/>
                <w:highlight w:val="white"/>
              </w:rPr>
            </w:pPr>
          </w:p>
          <w:p w14:paraId="34E59CFE"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p>
          <w:p w14:paraId="67C481F4" w14:textId="77777777" w:rsidR="00AC5422" w:rsidRPr="000563E9" w:rsidRDefault="00AC5422" w:rsidP="00FE4C6B">
            <w:pPr>
              <w:jc w:val="both"/>
              <w:rPr>
                <w:rFonts w:asciiTheme="majorHAnsi" w:eastAsia="Times New Roman" w:hAnsiTheme="majorHAnsi" w:cstheme="majorHAnsi"/>
                <w:sz w:val="20"/>
                <w:szCs w:val="20"/>
                <w:highlight w:val="white"/>
              </w:rPr>
            </w:pPr>
          </w:p>
          <w:p w14:paraId="78BA6AFE"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 xml:space="preserve">k) Las personas que hayan financiado campañas políticas a la Presidencia de la República, a las gobernaciones o a las alcaldías, </w:t>
            </w:r>
            <w:r w:rsidRPr="000563E9">
              <w:rPr>
                <w:rFonts w:asciiTheme="majorHAnsi" w:eastAsia="Times New Roman" w:hAnsiTheme="majorHAnsi" w:cstheme="majorHAnsi"/>
                <w:b/>
                <w:i/>
                <w:sz w:val="20"/>
                <w:szCs w:val="20"/>
                <w:highlight w:val="white"/>
                <w:u w:val="single"/>
              </w:rPr>
              <w:t>o a las corporaciones públicas de elección popular</w:t>
            </w:r>
            <w:r w:rsidRPr="000563E9">
              <w:rPr>
                <w:rFonts w:asciiTheme="majorHAnsi" w:eastAsia="Times New Roman" w:hAnsiTheme="majorHAnsi" w:cstheme="majorHAnsi"/>
                <w:sz w:val="20"/>
                <w:szCs w:val="20"/>
                <w:highlight w:val="white"/>
              </w:rPr>
              <w:t xml:space="preserve"> con aportes superiores al dos punto cinco por ciento (2.5%)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p>
          <w:p w14:paraId="22A78E0F"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p>
          <w:p w14:paraId="11018BA0"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 xml:space="preserve">Esta inhabilidad comprenderá también a las personas jurídicas </w:t>
            </w:r>
            <w:r w:rsidRPr="000563E9">
              <w:rPr>
                <w:rFonts w:asciiTheme="majorHAnsi" w:eastAsia="Times New Roman" w:hAnsiTheme="majorHAnsi" w:cstheme="majorHAnsi"/>
                <w:b/>
                <w:i/>
                <w:sz w:val="20"/>
                <w:szCs w:val="20"/>
                <w:highlight w:val="white"/>
                <w:u w:val="single"/>
              </w:rPr>
              <w:t>existentes o que llegaren a constituirse distintas de las anónimas abiertas</w:t>
            </w:r>
            <w:r w:rsidRPr="000563E9">
              <w:rPr>
                <w:rFonts w:asciiTheme="majorHAnsi" w:eastAsia="Times New Roman" w:hAnsiTheme="majorHAnsi" w:cstheme="majorHAnsi"/>
                <w:sz w:val="20"/>
                <w:szCs w:val="20"/>
                <w:highlight w:val="white"/>
              </w:rPr>
              <w:t xml:space="preserve">, en las cuales el representante legal o cualquiera de sus socios hayan financiado directamente o por interpuesta persona campañas políticas a la Presidencia de la República, a las gobernaciones y </w:t>
            </w:r>
            <w:proofErr w:type="gramStart"/>
            <w:r w:rsidRPr="000563E9">
              <w:rPr>
                <w:rFonts w:asciiTheme="majorHAnsi" w:eastAsia="Times New Roman" w:hAnsiTheme="majorHAnsi" w:cstheme="majorHAnsi"/>
                <w:sz w:val="20"/>
                <w:szCs w:val="20"/>
                <w:highlight w:val="white"/>
              </w:rPr>
              <w:t>las alcaldía</w:t>
            </w:r>
            <w:proofErr w:type="gramEnd"/>
            <w:r w:rsidRPr="000563E9">
              <w:rPr>
                <w:rFonts w:asciiTheme="majorHAnsi" w:eastAsia="Times New Roman" w:hAnsiTheme="majorHAnsi" w:cstheme="majorHAnsi"/>
                <w:sz w:val="20"/>
                <w:szCs w:val="20"/>
                <w:highlight w:val="white"/>
              </w:rPr>
              <w:t xml:space="preserve">, </w:t>
            </w:r>
            <w:r w:rsidRPr="000563E9">
              <w:rPr>
                <w:rFonts w:asciiTheme="majorHAnsi" w:eastAsia="Times New Roman" w:hAnsiTheme="majorHAnsi" w:cstheme="majorHAnsi"/>
                <w:b/>
                <w:i/>
                <w:sz w:val="20"/>
                <w:szCs w:val="20"/>
                <w:highlight w:val="white"/>
                <w:u w:val="single"/>
              </w:rPr>
              <w:t>o a las corporaciones públicas de elección popular</w:t>
            </w:r>
            <w:r w:rsidRPr="000563E9">
              <w:rPr>
                <w:rFonts w:asciiTheme="majorHAnsi" w:eastAsia="Times New Roman" w:hAnsiTheme="majorHAnsi" w:cstheme="majorHAnsi"/>
                <w:sz w:val="20"/>
                <w:szCs w:val="20"/>
                <w:highlight w:val="white"/>
              </w:rPr>
              <w:t xml:space="preserve"> </w:t>
            </w:r>
          </w:p>
          <w:p w14:paraId="0356391E" w14:textId="77777777" w:rsidR="00AC5422" w:rsidRPr="000563E9" w:rsidRDefault="00AC5422" w:rsidP="00FE4C6B">
            <w:pPr>
              <w:jc w:val="both"/>
              <w:rPr>
                <w:rFonts w:asciiTheme="majorHAnsi" w:eastAsia="Times New Roman" w:hAnsiTheme="majorHAnsi" w:cstheme="majorHAnsi"/>
                <w:b/>
                <w:strike/>
                <w:sz w:val="20"/>
                <w:szCs w:val="20"/>
                <w:highlight w:val="white"/>
              </w:rPr>
            </w:pPr>
          </w:p>
          <w:p w14:paraId="1DD9EC06" w14:textId="77777777" w:rsidR="00AC5422" w:rsidRPr="000563E9" w:rsidRDefault="00AC5422"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w:t>
            </w:r>
          </w:p>
          <w:p w14:paraId="4C405787" w14:textId="77777777" w:rsidR="00AC5422" w:rsidRPr="000563E9" w:rsidRDefault="00AC5422" w:rsidP="00FE4C6B">
            <w:pPr>
              <w:jc w:val="both"/>
              <w:rPr>
                <w:rFonts w:asciiTheme="majorHAnsi" w:eastAsia="Times New Roman" w:hAnsiTheme="majorHAnsi" w:cstheme="majorHAnsi"/>
                <w:sz w:val="20"/>
                <w:szCs w:val="20"/>
                <w:highlight w:val="white"/>
              </w:rPr>
            </w:pPr>
          </w:p>
          <w:p w14:paraId="5B6ABC78" w14:textId="77777777" w:rsidR="00AC5422" w:rsidRPr="000563E9" w:rsidRDefault="00AC5422"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M) Las personas que hayan ejercido como directivos de los partidos políticos dentro del año anterior a la firma del contrato.</w:t>
            </w:r>
          </w:p>
          <w:p w14:paraId="28CD2D0C" w14:textId="77777777" w:rsidR="00AC5422" w:rsidRPr="000563E9" w:rsidRDefault="00AC5422" w:rsidP="00FE4C6B">
            <w:pPr>
              <w:jc w:val="both"/>
              <w:rPr>
                <w:rFonts w:asciiTheme="majorHAnsi" w:eastAsia="Times New Roman" w:hAnsiTheme="majorHAnsi" w:cstheme="majorHAnsi"/>
                <w:b/>
                <w:i/>
                <w:sz w:val="20"/>
                <w:szCs w:val="20"/>
                <w:highlight w:val="white"/>
                <w:u w:val="single"/>
              </w:rPr>
            </w:pPr>
          </w:p>
          <w:p w14:paraId="6245FCF3" w14:textId="77777777" w:rsidR="00AC5422" w:rsidRPr="000563E9" w:rsidRDefault="00AC5422" w:rsidP="00FE4C6B">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N) Las personas jurídicas o naturales que ejerzan representación en comisiones, comités, consejos o cualquier cargo de representación en instituciones públicas.</w:t>
            </w:r>
          </w:p>
          <w:p w14:paraId="3BE7E795" w14:textId="77777777" w:rsidR="00DF6E13" w:rsidRPr="000563E9" w:rsidRDefault="00DF6E13" w:rsidP="00FE4C6B">
            <w:pPr>
              <w:jc w:val="both"/>
              <w:rPr>
                <w:rFonts w:asciiTheme="majorHAnsi" w:hAnsiTheme="majorHAnsi" w:cstheme="majorHAnsi"/>
                <w:sz w:val="20"/>
                <w:szCs w:val="20"/>
              </w:rPr>
            </w:pPr>
          </w:p>
        </w:tc>
        <w:tc>
          <w:tcPr>
            <w:tcW w:w="6055" w:type="dxa"/>
          </w:tcPr>
          <w:p w14:paraId="7220CDEC" w14:textId="6ED5244A" w:rsidR="00DF6E13" w:rsidRPr="000563E9" w:rsidRDefault="0037631E" w:rsidP="00FE4C6B">
            <w:pPr>
              <w:jc w:val="both"/>
              <w:rPr>
                <w:rFonts w:asciiTheme="majorHAnsi" w:eastAsia="Times New Roman" w:hAnsiTheme="majorHAnsi" w:cstheme="majorHAnsi"/>
                <w:sz w:val="20"/>
                <w:szCs w:val="20"/>
              </w:rPr>
            </w:pPr>
            <w:r w:rsidRPr="000563E9">
              <w:rPr>
                <w:rFonts w:asciiTheme="majorHAnsi" w:hAnsiTheme="majorHAnsi" w:cstheme="majorHAnsi"/>
                <w:sz w:val="20"/>
                <w:szCs w:val="20"/>
              </w:rPr>
              <w:t>Se debe tener en cuenta que en el proyecto</w:t>
            </w:r>
            <w:r w:rsidR="00891C36" w:rsidRPr="000563E9">
              <w:rPr>
                <w:rFonts w:asciiTheme="majorHAnsi" w:hAnsiTheme="majorHAnsi" w:cstheme="majorHAnsi"/>
                <w:sz w:val="20"/>
                <w:szCs w:val="20"/>
              </w:rPr>
              <w:t xml:space="preserve"> NO</w:t>
            </w:r>
            <w:r w:rsidRPr="000563E9">
              <w:rPr>
                <w:rFonts w:asciiTheme="majorHAnsi" w:hAnsiTheme="majorHAnsi" w:cstheme="majorHAnsi"/>
                <w:sz w:val="20"/>
                <w:szCs w:val="20"/>
              </w:rPr>
              <w:t xml:space="preserve"> se encuentran resaltados todos los cambios incorporados</w:t>
            </w:r>
            <w:r w:rsidR="00891C36" w:rsidRPr="000563E9">
              <w:rPr>
                <w:rFonts w:asciiTheme="majorHAnsi" w:hAnsiTheme="majorHAnsi" w:cstheme="majorHAnsi"/>
                <w:sz w:val="20"/>
                <w:szCs w:val="20"/>
              </w:rPr>
              <w:t xml:space="preserve"> con negrillas y subrayas</w:t>
            </w:r>
            <w:r w:rsidRPr="000563E9">
              <w:rPr>
                <w:rFonts w:asciiTheme="majorHAnsi" w:hAnsiTheme="majorHAnsi" w:cstheme="majorHAnsi"/>
                <w:sz w:val="20"/>
                <w:szCs w:val="20"/>
              </w:rPr>
              <w:t xml:space="preserve">, por </w:t>
            </w:r>
            <w:r w:rsidR="00891C36" w:rsidRPr="000563E9">
              <w:rPr>
                <w:rFonts w:asciiTheme="majorHAnsi" w:hAnsiTheme="majorHAnsi" w:cstheme="majorHAnsi"/>
                <w:sz w:val="20"/>
                <w:szCs w:val="20"/>
              </w:rPr>
              <w:t>ejemplo,</w:t>
            </w:r>
            <w:r w:rsidRPr="000563E9">
              <w:rPr>
                <w:rFonts w:asciiTheme="majorHAnsi" w:hAnsiTheme="majorHAnsi" w:cstheme="majorHAnsi"/>
                <w:sz w:val="20"/>
                <w:szCs w:val="20"/>
              </w:rPr>
              <w:t xml:space="preserve"> se </w:t>
            </w:r>
            <w:r w:rsidR="00891C36" w:rsidRPr="000563E9">
              <w:rPr>
                <w:rFonts w:asciiTheme="majorHAnsi" w:hAnsiTheme="majorHAnsi" w:cstheme="majorHAnsi"/>
                <w:sz w:val="20"/>
                <w:szCs w:val="20"/>
              </w:rPr>
              <w:t>aumentó</w:t>
            </w:r>
            <w:r w:rsidRPr="000563E9">
              <w:rPr>
                <w:rFonts w:asciiTheme="majorHAnsi" w:hAnsiTheme="majorHAnsi" w:cstheme="majorHAnsi"/>
                <w:sz w:val="20"/>
                <w:szCs w:val="20"/>
              </w:rPr>
              <w:t xml:space="preserve"> el </w:t>
            </w:r>
            <w:r w:rsidR="00197653" w:rsidRPr="000563E9">
              <w:rPr>
                <w:rFonts w:asciiTheme="majorHAnsi" w:hAnsiTheme="majorHAnsi" w:cstheme="majorHAnsi"/>
                <w:sz w:val="20"/>
                <w:szCs w:val="20"/>
              </w:rPr>
              <w:t xml:space="preserve">umbral de financiación de campañas del 2% al </w:t>
            </w:r>
            <w:r w:rsidR="00197653" w:rsidRPr="000563E9">
              <w:rPr>
                <w:rFonts w:asciiTheme="majorHAnsi" w:eastAsia="Times New Roman" w:hAnsiTheme="majorHAnsi" w:cstheme="majorHAnsi"/>
                <w:sz w:val="20"/>
                <w:szCs w:val="20"/>
                <w:highlight w:val="white"/>
              </w:rPr>
              <w:t>2.5%</w:t>
            </w:r>
            <w:r w:rsidR="00197653" w:rsidRPr="000563E9">
              <w:rPr>
                <w:rFonts w:asciiTheme="majorHAnsi" w:eastAsia="Times New Roman" w:hAnsiTheme="majorHAnsi" w:cstheme="majorHAnsi"/>
                <w:sz w:val="20"/>
                <w:szCs w:val="20"/>
              </w:rPr>
              <w:t xml:space="preserve">, sin que se encuentre justificado el cambio. </w:t>
            </w:r>
          </w:p>
          <w:p w14:paraId="010BBD70" w14:textId="77777777" w:rsidR="00197653" w:rsidRPr="000563E9" w:rsidRDefault="00197653" w:rsidP="00FE4C6B">
            <w:pPr>
              <w:jc w:val="both"/>
              <w:rPr>
                <w:rFonts w:asciiTheme="majorHAnsi" w:hAnsiTheme="majorHAnsi" w:cstheme="majorHAnsi"/>
                <w:sz w:val="20"/>
                <w:szCs w:val="20"/>
              </w:rPr>
            </w:pPr>
          </w:p>
          <w:p w14:paraId="4AAC0CAE" w14:textId="3232E0C1" w:rsidR="00891C36" w:rsidRPr="000563E9" w:rsidRDefault="00580326" w:rsidP="00FE4C6B">
            <w:pPr>
              <w:jc w:val="both"/>
              <w:rPr>
                <w:rFonts w:asciiTheme="majorHAnsi" w:hAnsiTheme="majorHAnsi" w:cstheme="majorHAnsi"/>
                <w:sz w:val="20"/>
                <w:szCs w:val="20"/>
              </w:rPr>
            </w:pPr>
            <w:r w:rsidRPr="000563E9">
              <w:rPr>
                <w:rFonts w:asciiTheme="majorHAnsi" w:hAnsiTheme="majorHAnsi" w:cstheme="majorHAnsi"/>
                <w:sz w:val="20"/>
                <w:szCs w:val="20"/>
              </w:rPr>
              <w:t>Adicionalmente, la estructura de numerales del artículo 7° de la Ley 80 de 1993 responde a una finalidad específica: diferenciar las inhabilidades (numeral 1) de las incompatibilidades (numeral 2). En este sentido, se observa que las propuestas incorporadas como literales m) y n), aunque formuladas como inhabilidades, corresponden materialmente a supuestos de incompatibilidad, lo que genera una inconsistencia conceptual en la técnica normativa.</w:t>
            </w:r>
          </w:p>
        </w:tc>
      </w:tr>
      <w:tr w:rsidR="00DF6E13" w:rsidRPr="000563E9" w14:paraId="731528F0" w14:textId="77777777" w:rsidTr="00BA78F5">
        <w:tc>
          <w:tcPr>
            <w:tcW w:w="3539" w:type="dxa"/>
          </w:tcPr>
          <w:p w14:paraId="11D0EF4E" w14:textId="1B311249" w:rsidR="00DF6E13" w:rsidRPr="000563E9" w:rsidRDefault="00AB264C"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10. DE LAS EXCEPCIONES A LAS INHABILIDADES E INCOMPATIBILIDADES.</w:t>
            </w:r>
            <w:r w:rsidRPr="000563E9">
              <w:rPr>
                <w:rFonts w:asciiTheme="majorHAnsi" w:hAnsiTheme="majorHAnsi" w:cstheme="majorHAnsi"/>
                <w:sz w:val="20"/>
                <w:szCs w:val="20"/>
              </w:rPr>
              <w:t> No quedan cobijadas por las inhabilidades e incompatibilidades de que tratan los artículos anteriores, las personas que contraten por obligación legal o lo hagan para usar los bienes o servicios que las entidades a que se refiere el presente estatuto ofrezcan al público en condiciones comunes a quienes los soliciten, ni las personas jurídicas sin ánimo de lucro cuyos representantes legales hagan parte de las juntas o consejos directivos en virtud de su cargo o por mandato legal o estatutario, ni quienes celebren contratos en desarrollo de lo previsto en el artículo 60 de la Constitución Política. </w:t>
            </w:r>
          </w:p>
        </w:tc>
        <w:tc>
          <w:tcPr>
            <w:tcW w:w="3402" w:type="dxa"/>
          </w:tcPr>
          <w:p w14:paraId="17793BFD" w14:textId="7D2CE622" w:rsidR="00DF6E13" w:rsidRPr="000563E9" w:rsidRDefault="001E2B2C" w:rsidP="00FE4C6B">
            <w:pPr>
              <w:jc w:val="both"/>
              <w:rPr>
                <w:rFonts w:asciiTheme="majorHAnsi" w:eastAsia="Times New Roman" w:hAnsiTheme="majorHAnsi" w:cstheme="majorHAnsi"/>
                <w:sz w:val="20"/>
                <w:szCs w:val="20"/>
              </w:rPr>
            </w:pPr>
            <w:r w:rsidRPr="000563E9">
              <w:rPr>
                <w:rFonts w:asciiTheme="majorHAnsi" w:eastAsia="Times New Roman" w:hAnsiTheme="majorHAnsi" w:cstheme="majorHAnsi"/>
                <w:b/>
                <w:sz w:val="20"/>
                <w:szCs w:val="20"/>
              </w:rPr>
              <w:t>ARTÍCULO 8o.</w:t>
            </w:r>
            <w:r w:rsidRPr="000563E9">
              <w:rPr>
                <w:rFonts w:asciiTheme="majorHAnsi" w:eastAsia="Times New Roman" w:hAnsiTheme="majorHAnsi" w:cstheme="majorHAnsi"/>
                <w:sz w:val="20"/>
                <w:szCs w:val="20"/>
              </w:rPr>
              <w:t xml:space="preserve"> Deróguese el artículo 10 de la ley 80 de 1993 el cual establece excepciones en las inhabilidades e incompatibilidades que se puedan presentar en la contratación estatal.</w:t>
            </w:r>
          </w:p>
        </w:tc>
        <w:tc>
          <w:tcPr>
            <w:tcW w:w="6055" w:type="dxa"/>
          </w:tcPr>
          <w:p w14:paraId="20FF0951" w14:textId="01EDA0E9" w:rsidR="00DF6E13" w:rsidRPr="000563E9" w:rsidRDefault="00D8460D" w:rsidP="00FE4C6B">
            <w:pPr>
              <w:jc w:val="both"/>
              <w:rPr>
                <w:rFonts w:asciiTheme="majorHAnsi" w:hAnsiTheme="majorHAnsi" w:cstheme="majorHAnsi"/>
                <w:sz w:val="20"/>
                <w:szCs w:val="20"/>
              </w:rPr>
            </w:pPr>
            <w:r w:rsidRPr="000563E9">
              <w:rPr>
                <w:rFonts w:asciiTheme="majorHAnsi" w:hAnsiTheme="majorHAnsi" w:cstheme="majorHAnsi"/>
                <w:sz w:val="20"/>
                <w:szCs w:val="20"/>
              </w:rPr>
              <w:t xml:space="preserve">Sin comentarios. </w:t>
            </w:r>
          </w:p>
        </w:tc>
      </w:tr>
      <w:tr w:rsidR="00811B8C" w:rsidRPr="000563E9" w14:paraId="5A839440" w14:textId="77777777" w:rsidTr="00BA78F5">
        <w:tc>
          <w:tcPr>
            <w:tcW w:w="3539" w:type="dxa"/>
          </w:tcPr>
          <w:p w14:paraId="72AF49D8"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b/>
                <w:bCs/>
                <w:sz w:val="20"/>
                <w:szCs w:val="20"/>
              </w:rPr>
              <w:t>ARTICULO 13. DE LA NORMATIVIDAD APLICABLE A LOS CONTRATOS ESTATALES.</w:t>
            </w:r>
            <w:r w:rsidRPr="000B2DBA">
              <w:rPr>
                <w:rFonts w:asciiTheme="majorHAnsi" w:hAnsiTheme="majorHAnsi" w:cstheme="majorHAnsi"/>
                <w:sz w:val="20"/>
                <w:szCs w:val="20"/>
              </w:rPr>
              <w:t> Los contratos que celebren las entidades a que se refiere el artículo 2o. del presente estatuto se regirán por las disposiciones comerciales y civiles pertinentes, salvo en las materias particularmente reguladas en esta ley. </w:t>
            </w:r>
          </w:p>
          <w:p w14:paraId="49B0DE6D"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sz w:val="20"/>
                <w:szCs w:val="20"/>
              </w:rPr>
              <w:t>  </w:t>
            </w:r>
          </w:p>
          <w:p w14:paraId="2151D849"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sz w:val="20"/>
                <w:szCs w:val="20"/>
              </w:rPr>
              <w:t>Los contratos celebrados en el exterior se podrán regir en su ejecución por las reglas del país en donde se hayan suscrito, a menos que deban cumplirse en Colombia. </w:t>
            </w:r>
          </w:p>
          <w:p w14:paraId="5BE33672"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sz w:val="20"/>
                <w:szCs w:val="20"/>
              </w:rPr>
              <w:t>  </w:t>
            </w:r>
          </w:p>
          <w:p w14:paraId="36AC89A8"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sz w:val="20"/>
                <w:szCs w:val="20"/>
              </w:rPr>
              <w:t>Los contratos que se celebren en Colombia y deban ejecutarse o cumplirse en el extranjero, podrán someterse a la ley extranjera. </w:t>
            </w:r>
          </w:p>
          <w:p w14:paraId="1429CE7F" w14:textId="77777777" w:rsidR="000B2DBA" w:rsidRPr="000B2DBA" w:rsidRDefault="000B2DBA" w:rsidP="000B2DBA">
            <w:pPr>
              <w:jc w:val="both"/>
              <w:rPr>
                <w:rFonts w:asciiTheme="majorHAnsi" w:hAnsiTheme="majorHAnsi" w:cstheme="majorHAnsi"/>
                <w:sz w:val="20"/>
                <w:szCs w:val="20"/>
              </w:rPr>
            </w:pPr>
            <w:r w:rsidRPr="000B2DBA">
              <w:rPr>
                <w:rFonts w:asciiTheme="majorHAnsi" w:hAnsiTheme="majorHAnsi" w:cstheme="majorHAnsi"/>
                <w:sz w:val="20"/>
                <w:szCs w:val="20"/>
              </w:rPr>
              <w:t>  </w:t>
            </w:r>
          </w:p>
          <w:p w14:paraId="2DE40772" w14:textId="77777777" w:rsidR="00811B8C" w:rsidRPr="000563E9" w:rsidRDefault="00811B8C" w:rsidP="00FE4C6B">
            <w:pPr>
              <w:jc w:val="both"/>
              <w:rPr>
                <w:rFonts w:asciiTheme="majorHAnsi" w:hAnsiTheme="majorHAnsi" w:cstheme="majorHAnsi"/>
                <w:sz w:val="20"/>
                <w:szCs w:val="20"/>
              </w:rPr>
            </w:pPr>
          </w:p>
        </w:tc>
        <w:tc>
          <w:tcPr>
            <w:tcW w:w="3402" w:type="dxa"/>
          </w:tcPr>
          <w:p w14:paraId="0FD97FE8" w14:textId="77777777" w:rsidR="00FE4C6B" w:rsidRPr="000563E9" w:rsidRDefault="00FE4C6B" w:rsidP="00FE4C6B">
            <w:pPr>
              <w:jc w:val="both"/>
              <w:rPr>
                <w:rFonts w:asciiTheme="majorHAnsi" w:eastAsia="Times New Roman" w:hAnsiTheme="majorHAnsi" w:cstheme="majorHAnsi"/>
                <w:sz w:val="20"/>
                <w:szCs w:val="20"/>
              </w:rPr>
            </w:pPr>
            <w:r w:rsidRPr="000563E9">
              <w:rPr>
                <w:rFonts w:asciiTheme="majorHAnsi" w:eastAsia="Times New Roman" w:hAnsiTheme="majorHAnsi" w:cstheme="majorHAnsi"/>
                <w:b/>
                <w:sz w:val="20"/>
                <w:szCs w:val="20"/>
              </w:rPr>
              <w:t xml:space="preserve">ARTÍCULO 9o. </w:t>
            </w:r>
            <w:r w:rsidRPr="000563E9">
              <w:rPr>
                <w:rFonts w:asciiTheme="majorHAnsi" w:eastAsia="Times New Roman" w:hAnsiTheme="majorHAnsi" w:cstheme="majorHAnsi"/>
                <w:sz w:val="20"/>
                <w:szCs w:val="20"/>
              </w:rPr>
              <w:t xml:space="preserve">Modifíquese el artículo 13 de la ley 80 de 1993, el cual quedaría así: </w:t>
            </w:r>
          </w:p>
          <w:p w14:paraId="4E82802A" w14:textId="77777777" w:rsidR="00FE4C6B" w:rsidRPr="000563E9" w:rsidRDefault="00FE4C6B"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13. DE LA NORMATIVIDAD APLICABLE A LOS CONTRATOS ESTATALES.</w:t>
            </w:r>
            <w:r w:rsidRPr="000563E9">
              <w:rPr>
                <w:rFonts w:asciiTheme="majorHAnsi" w:eastAsia="Times New Roman" w:hAnsiTheme="majorHAnsi" w:cstheme="majorHAnsi"/>
                <w:sz w:val="20"/>
                <w:szCs w:val="20"/>
                <w:highlight w:val="white"/>
              </w:rPr>
              <w:t xml:space="preserve"> Los contratos que celebren las entidades a que se refiere el artículo 2o. del presente estatuto se regirán por las disposiciones </w:t>
            </w:r>
            <w:r w:rsidRPr="000563E9">
              <w:rPr>
                <w:rFonts w:asciiTheme="majorHAnsi" w:eastAsia="Times New Roman" w:hAnsiTheme="majorHAnsi" w:cstheme="majorHAnsi"/>
                <w:b/>
                <w:i/>
                <w:sz w:val="20"/>
                <w:szCs w:val="20"/>
                <w:highlight w:val="white"/>
                <w:u w:val="single"/>
              </w:rPr>
              <w:t>penal, fiscal, civil, disciplinario y contencioso administrativo, comerciales y/o aquellas que sean pertinentes</w:t>
            </w:r>
            <w:r w:rsidRPr="000563E9">
              <w:rPr>
                <w:rFonts w:asciiTheme="majorHAnsi" w:eastAsia="Times New Roman" w:hAnsiTheme="majorHAnsi" w:cstheme="majorHAnsi"/>
                <w:b/>
                <w:strike/>
                <w:sz w:val="20"/>
                <w:szCs w:val="20"/>
                <w:highlight w:val="white"/>
              </w:rPr>
              <w:t>,</w:t>
            </w:r>
            <w:r w:rsidRPr="000563E9">
              <w:rPr>
                <w:rFonts w:asciiTheme="majorHAnsi" w:eastAsia="Times New Roman" w:hAnsiTheme="majorHAnsi" w:cstheme="majorHAnsi"/>
                <w:sz w:val="20"/>
                <w:szCs w:val="20"/>
                <w:highlight w:val="white"/>
              </w:rPr>
              <w:t xml:space="preserve"> salvo en las materias particularmente reguladas en esta ley.</w:t>
            </w:r>
          </w:p>
          <w:p w14:paraId="7F7B9A9A" w14:textId="77777777" w:rsidR="00FE4C6B" w:rsidRPr="000563E9" w:rsidRDefault="00FE4C6B" w:rsidP="00FE4C6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Los contratos celebrados en el exterior se podrán regir en su ejecución por las reglas del país en donde se hayan suscrito, a menos que deban cumplirse en Colombia.</w:t>
            </w:r>
          </w:p>
          <w:p w14:paraId="1FFE5B63" w14:textId="43E713DC" w:rsidR="00811B8C" w:rsidRPr="000563E9" w:rsidRDefault="00FE4C6B" w:rsidP="00FE4C6B">
            <w:pPr>
              <w:jc w:val="both"/>
              <w:rPr>
                <w:rFonts w:asciiTheme="majorHAnsi" w:hAnsiTheme="majorHAnsi" w:cstheme="majorHAnsi"/>
                <w:sz w:val="20"/>
                <w:szCs w:val="20"/>
              </w:rPr>
            </w:pPr>
            <w:r w:rsidRPr="000563E9">
              <w:rPr>
                <w:rFonts w:asciiTheme="majorHAnsi" w:eastAsia="Times New Roman" w:hAnsiTheme="majorHAnsi" w:cstheme="majorHAnsi"/>
                <w:sz w:val="20"/>
                <w:szCs w:val="20"/>
                <w:highlight w:val="white"/>
              </w:rPr>
              <w:t>Los contratos que se celebren en Colombia y deban ejecutarse o cumplirse en el extranjero, podrán someterse a la ley extranjera.”</w:t>
            </w:r>
          </w:p>
        </w:tc>
        <w:tc>
          <w:tcPr>
            <w:tcW w:w="6055" w:type="dxa"/>
          </w:tcPr>
          <w:p w14:paraId="4FD2F808" w14:textId="77777777" w:rsidR="00774F1F" w:rsidRPr="000563E9" w:rsidRDefault="00774F1F" w:rsidP="00774F1F">
            <w:pPr>
              <w:jc w:val="both"/>
              <w:rPr>
                <w:rFonts w:asciiTheme="majorHAnsi" w:hAnsiTheme="majorHAnsi" w:cstheme="majorHAnsi"/>
                <w:sz w:val="20"/>
                <w:szCs w:val="20"/>
              </w:rPr>
            </w:pPr>
            <w:r w:rsidRPr="00774F1F">
              <w:rPr>
                <w:rFonts w:asciiTheme="majorHAnsi" w:hAnsiTheme="majorHAnsi" w:cstheme="majorHAnsi"/>
                <w:sz w:val="20"/>
                <w:szCs w:val="20"/>
              </w:rPr>
              <w:t>El ajuste propuesto resulta incompatible con la finalidad del artículo 13 de la Ley 80 de 1993, el cual busca la incorporación de la teoría general del contrato civil y comercial como marco supletorio de la contratación estatal.</w:t>
            </w:r>
          </w:p>
          <w:p w14:paraId="4D5C9922" w14:textId="77777777" w:rsidR="00774F1F" w:rsidRPr="00774F1F" w:rsidRDefault="00774F1F" w:rsidP="00774F1F">
            <w:pPr>
              <w:jc w:val="both"/>
              <w:rPr>
                <w:rFonts w:asciiTheme="majorHAnsi" w:hAnsiTheme="majorHAnsi" w:cstheme="majorHAnsi"/>
                <w:sz w:val="20"/>
                <w:szCs w:val="20"/>
              </w:rPr>
            </w:pPr>
          </w:p>
          <w:p w14:paraId="6B821BE7" w14:textId="5622B255" w:rsidR="00774F1F" w:rsidRPr="000563E9" w:rsidRDefault="00774F1F" w:rsidP="00774F1F">
            <w:pPr>
              <w:jc w:val="both"/>
              <w:rPr>
                <w:rFonts w:asciiTheme="majorHAnsi" w:hAnsiTheme="majorHAnsi" w:cstheme="majorHAnsi"/>
                <w:sz w:val="20"/>
                <w:szCs w:val="20"/>
              </w:rPr>
            </w:pPr>
            <w:r w:rsidRPr="00774F1F">
              <w:rPr>
                <w:rFonts w:asciiTheme="majorHAnsi" w:hAnsiTheme="majorHAnsi" w:cstheme="majorHAnsi"/>
                <w:sz w:val="20"/>
                <w:szCs w:val="20"/>
              </w:rPr>
              <w:t>En este sentido, la inclusión de referencias amplias a disposiciones penales, fiscales, civiles, disciplinarias, contencioso-administrativas y comerciales o a “aquellas que sean pertinentes” resulta incongruente con el propósito del artículo, en tanto desborda su alcance y genera redundancias normativas.</w:t>
            </w:r>
          </w:p>
          <w:p w14:paraId="16D8D789" w14:textId="77777777" w:rsidR="00774F1F" w:rsidRPr="00774F1F" w:rsidRDefault="00774F1F" w:rsidP="00774F1F">
            <w:pPr>
              <w:jc w:val="both"/>
              <w:rPr>
                <w:rFonts w:asciiTheme="majorHAnsi" w:hAnsiTheme="majorHAnsi" w:cstheme="majorHAnsi"/>
                <w:sz w:val="20"/>
                <w:szCs w:val="20"/>
              </w:rPr>
            </w:pPr>
          </w:p>
          <w:p w14:paraId="79755451" w14:textId="77777777" w:rsidR="00774F1F" w:rsidRPr="00774F1F" w:rsidRDefault="00774F1F" w:rsidP="00774F1F">
            <w:pPr>
              <w:jc w:val="both"/>
              <w:rPr>
                <w:rFonts w:asciiTheme="majorHAnsi" w:hAnsiTheme="majorHAnsi" w:cstheme="majorHAnsi"/>
                <w:sz w:val="20"/>
                <w:szCs w:val="20"/>
              </w:rPr>
            </w:pPr>
            <w:r w:rsidRPr="00774F1F">
              <w:rPr>
                <w:rFonts w:asciiTheme="majorHAnsi" w:hAnsiTheme="majorHAnsi" w:cstheme="majorHAnsi"/>
                <w:sz w:val="20"/>
                <w:szCs w:val="20"/>
              </w:rPr>
              <w:t>Lo anterior, además, desconoce que el régimen de responsabilidades ya cuenta con desarrollos específicos en otros artículos de la Ley 80 de 1993, por lo que la modificación propuesta no solo es innecesaria, sino que puede afectar la coherencia sistemática de la norma.</w:t>
            </w:r>
          </w:p>
          <w:p w14:paraId="7C04AD91" w14:textId="3942B97E" w:rsidR="00811B8C" w:rsidRPr="000563E9" w:rsidRDefault="00811B8C" w:rsidP="00FE4C6B">
            <w:pPr>
              <w:jc w:val="both"/>
              <w:rPr>
                <w:rFonts w:asciiTheme="majorHAnsi" w:hAnsiTheme="majorHAnsi" w:cstheme="majorHAnsi"/>
                <w:sz w:val="20"/>
                <w:szCs w:val="20"/>
              </w:rPr>
            </w:pPr>
          </w:p>
        </w:tc>
      </w:tr>
      <w:tr w:rsidR="001E2B2C" w:rsidRPr="000563E9" w14:paraId="5A062BA5" w14:textId="77777777" w:rsidTr="00BA78F5">
        <w:tc>
          <w:tcPr>
            <w:tcW w:w="3539" w:type="dxa"/>
          </w:tcPr>
          <w:p w14:paraId="7A1C72B6"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b/>
                <w:bCs/>
                <w:sz w:val="20"/>
                <w:szCs w:val="20"/>
              </w:rPr>
              <w:t>ARTICULO 14. DE LOS MEDIOS QUE PUEDEN UTILIZAR LAS ENTIDADES ESTATALES PARA EL CUMPLIMIENTO DEL OBJETO CONTRACTUAL. </w:t>
            </w:r>
            <w:r w:rsidRPr="00494B3B">
              <w:rPr>
                <w:rFonts w:asciiTheme="majorHAnsi" w:hAnsiTheme="majorHAnsi" w:cstheme="majorHAnsi"/>
                <w:sz w:val="20"/>
                <w:szCs w:val="20"/>
              </w:rPr>
              <w:t>Para el cumplimiento de los fines de la contratación, las entidades estatales al celebrar un contrato: </w:t>
            </w:r>
          </w:p>
          <w:p w14:paraId="3069A5C2"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6008BDD8"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1o.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interpretar los documentos contractuales y las estipulaciones en ellos convenidas, introducir modificaciones a lo contratado y, cuando las condiciones particulares de la prestación así lo exijan, terminar unilateralmente el contrato celebrado. </w:t>
            </w:r>
          </w:p>
          <w:p w14:paraId="4A67F46A"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11186465"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En los actos en que se ejercite algunas de estas potestades excepcionales deberá procederse al reconocimiento y orden de pago de las compensaciones e indemnizaciones a que tengan derecho las personas objeto de tales medidas y se aplicarán los mecanismos de ajuste de las condiciones y términos contractuales a que haya lugar, todo ello con el fin de mantener la ecuación o equilibrio inicial. </w:t>
            </w:r>
          </w:p>
          <w:p w14:paraId="6FD04105"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235B3DDA"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Contra los actos administrativos que ordenen la interpretación, modificación y terminación unilaterales, procederá el recurso de reposición, sin perjuicio de la acción contractual que puede intentar el contratista, según lo previsto en el artículo 77 de esta ley. </w:t>
            </w:r>
          </w:p>
          <w:p w14:paraId="7E60905C"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598F1427"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2o.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  </w:t>
            </w:r>
          </w:p>
          <w:p w14:paraId="61050A63"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196C5939"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Las entidades estatales podrán pactar estas cláusulas en los contratos de suministro y de prestación de servicios.  </w:t>
            </w:r>
          </w:p>
          <w:p w14:paraId="6CA7B0B4"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7832D0CA"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En los casos previstos en este numeral, las cláusulas excepcionales se entienden pactadas aun cuando no se consignen expresamente.  </w:t>
            </w:r>
          </w:p>
          <w:p w14:paraId="5080C8B2"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77A0437B"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b/>
                <w:bCs/>
                <w:sz w:val="20"/>
                <w:szCs w:val="20"/>
              </w:rPr>
              <w:t>PARAGRAFO.</w:t>
            </w:r>
            <w:r w:rsidRPr="00494B3B">
              <w:rPr>
                <w:rFonts w:asciiTheme="majorHAnsi" w:hAnsiTheme="majorHAnsi" w:cstheme="majorHAnsi"/>
                <w:sz w:val="20"/>
                <w:szCs w:val="20"/>
              </w:rPr>
              <w:t> 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 </w:t>
            </w:r>
          </w:p>
          <w:p w14:paraId="5A49B853" w14:textId="77777777" w:rsidR="00494B3B" w:rsidRPr="00494B3B" w:rsidRDefault="00494B3B" w:rsidP="00494B3B">
            <w:pPr>
              <w:jc w:val="both"/>
              <w:rPr>
                <w:rFonts w:asciiTheme="majorHAnsi" w:hAnsiTheme="majorHAnsi" w:cstheme="majorHAnsi"/>
                <w:sz w:val="20"/>
                <w:szCs w:val="20"/>
              </w:rPr>
            </w:pPr>
            <w:r w:rsidRPr="00494B3B">
              <w:rPr>
                <w:rFonts w:asciiTheme="majorHAnsi" w:hAnsiTheme="majorHAnsi" w:cstheme="majorHAnsi"/>
                <w:sz w:val="20"/>
                <w:szCs w:val="20"/>
              </w:rPr>
              <w:t>  </w:t>
            </w:r>
          </w:p>
          <w:p w14:paraId="2389F104" w14:textId="77777777" w:rsidR="001E2B2C" w:rsidRPr="000563E9" w:rsidRDefault="001E2B2C" w:rsidP="00FE4C6B">
            <w:pPr>
              <w:jc w:val="both"/>
              <w:rPr>
                <w:rFonts w:asciiTheme="majorHAnsi" w:hAnsiTheme="majorHAnsi" w:cstheme="majorHAnsi"/>
                <w:sz w:val="20"/>
                <w:szCs w:val="20"/>
              </w:rPr>
            </w:pPr>
          </w:p>
        </w:tc>
        <w:tc>
          <w:tcPr>
            <w:tcW w:w="3402" w:type="dxa"/>
          </w:tcPr>
          <w:p w14:paraId="4748069F"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10.</w:t>
            </w:r>
            <w:r w:rsidRPr="000563E9">
              <w:rPr>
                <w:rFonts w:asciiTheme="majorHAnsi" w:eastAsia="Times New Roman" w:hAnsiTheme="majorHAnsi" w:cstheme="majorHAnsi"/>
                <w:sz w:val="20"/>
                <w:szCs w:val="20"/>
                <w:highlight w:val="white"/>
              </w:rPr>
              <w:t xml:space="preserve"> Modifíquese el artículo 14 de la ley 80 de 1993, el cual quedaría así: </w:t>
            </w:r>
          </w:p>
          <w:p w14:paraId="3132CD24" w14:textId="77777777" w:rsidR="00425456" w:rsidRPr="000563E9" w:rsidRDefault="00425456" w:rsidP="00425456">
            <w:pPr>
              <w:jc w:val="both"/>
              <w:rPr>
                <w:rFonts w:asciiTheme="majorHAnsi" w:eastAsia="Times New Roman" w:hAnsiTheme="majorHAnsi" w:cstheme="majorHAnsi"/>
                <w:sz w:val="20"/>
                <w:szCs w:val="20"/>
                <w:highlight w:val="white"/>
              </w:rPr>
            </w:pPr>
          </w:p>
          <w:p w14:paraId="04F4AD95" w14:textId="6B0D78BF" w:rsidR="00425456" w:rsidRPr="000563E9" w:rsidRDefault="00425456" w:rsidP="00425456">
            <w:pPr>
              <w:jc w:val="both"/>
              <w:rPr>
                <w:rFonts w:asciiTheme="majorHAnsi" w:eastAsia="Times New Roman" w:hAnsiTheme="majorHAnsi" w:cstheme="majorHAnsi"/>
                <w:b/>
                <w:sz w:val="20"/>
                <w:szCs w:val="20"/>
                <w:highlight w:val="white"/>
              </w:rPr>
            </w:pPr>
            <w:r w:rsidRPr="000563E9">
              <w:rPr>
                <w:rFonts w:asciiTheme="majorHAnsi" w:eastAsia="Times New Roman" w:hAnsiTheme="majorHAnsi" w:cstheme="majorHAnsi"/>
                <w:b/>
                <w:sz w:val="20"/>
                <w:szCs w:val="20"/>
                <w:highlight w:val="white"/>
              </w:rPr>
              <w:t xml:space="preserve">“ARTÍCULO 14.- DE LOS MEDIOS QUE PUEDEN UTILIZAR LAS ENTIDADES ESTATALES PARA EL CUMPLIMIENTO DEL OBJETO CONTRACTUAL. </w:t>
            </w:r>
            <w:r w:rsidR="00AF39C4" w:rsidRPr="000563E9">
              <w:rPr>
                <w:rFonts w:asciiTheme="majorHAnsi" w:eastAsia="Times New Roman" w:hAnsiTheme="majorHAnsi" w:cstheme="majorHAnsi"/>
                <w:bCs/>
                <w:sz w:val="20"/>
                <w:szCs w:val="20"/>
                <w:highlight w:val="white"/>
              </w:rPr>
              <w:t>para el cumplimiento de los fines de la contratación, las entidades estatales al celebrar un contrato:</w:t>
            </w:r>
          </w:p>
          <w:p w14:paraId="39B3D5E4" w14:textId="77777777" w:rsidR="00425456" w:rsidRPr="000563E9" w:rsidRDefault="00425456" w:rsidP="00425456">
            <w:pPr>
              <w:jc w:val="both"/>
              <w:rPr>
                <w:rFonts w:asciiTheme="majorHAnsi" w:eastAsia="Times New Roman" w:hAnsiTheme="majorHAnsi" w:cstheme="majorHAnsi"/>
                <w:sz w:val="20"/>
                <w:szCs w:val="20"/>
                <w:highlight w:val="white"/>
              </w:rPr>
            </w:pPr>
          </w:p>
          <w:p w14:paraId="43215E79"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1o.</w:t>
            </w:r>
            <w:r w:rsidRPr="000563E9">
              <w:rPr>
                <w:rFonts w:asciiTheme="majorHAnsi" w:eastAsia="Times New Roman" w:hAnsiTheme="majorHAnsi" w:cstheme="majorHAnsi"/>
                <w:sz w:val="20"/>
                <w:szCs w:val="20"/>
                <w:highlight w:val="white"/>
              </w:rPr>
              <w:t xml:space="preserve"> Tendrán la dirección general y la responsabilidad de ejercer el control y vigilancia de la ejecución del contrato. En consecuencia, con el exclusivo objeto de evitar la paralización o la afectación grave de los servicios públicos </w:t>
            </w:r>
            <w:r w:rsidRPr="000563E9">
              <w:rPr>
                <w:rFonts w:asciiTheme="majorHAnsi" w:eastAsia="Times New Roman" w:hAnsiTheme="majorHAnsi" w:cstheme="majorHAnsi"/>
                <w:b/>
                <w:i/>
                <w:sz w:val="20"/>
                <w:szCs w:val="20"/>
                <w:highlight w:val="white"/>
                <w:u w:val="single"/>
              </w:rPr>
              <w:t>que implique al menos, la afectación del 20% de la ejecución de la obra o de la prestación del servicio</w:t>
            </w:r>
            <w:r w:rsidRPr="000563E9">
              <w:rPr>
                <w:rFonts w:asciiTheme="majorHAnsi" w:eastAsia="Times New Roman" w:hAnsiTheme="majorHAnsi" w:cstheme="majorHAnsi"/>
                <w:sz w:val="20"/>
                <w:szCs w:val="20"/>
                <w:highlight w:val="white"/>
              </w:rPr>
              <w:t xml:space="preserve"> a su cargo y asegurar la inmediata, continua y adecuada prestación, </w:t>
            </w:r>
            <w:r w:rsidRPr="000563E9">
              <w:rPr>
                <w:rFonts w:asciiTheme="majorHAnsi" w:eastAsia="Times New Roman" w:hAnsiTheme="majorHAnsi" w:cstheme="majorHAnsi"/>
                <w:b/>
                <w:i/>
                <w:sz w:val="20"/>
                <w:szCs w:val="20"/>
                <w:highlight w:val="white"/>
                <w:u w:val="single"/>
              </w:rPr>
              <w:t>deberán  asumir la continuidad de la obra o servicio de forma unilateral</w:t>
            </w:r>
            <w:r w:rsidRPr="000563E9">
              <w:rPr>
                <w:rFonts w:asciiTheme="majorHAnsi" w:eastAsia="Times New Roman" w:hAnsiTheme="majorHAnsi" w:cstheme="majorHAnsi"/>
                <w:sz w:val="20"/>
                <w:szCs w:val="20"/>
                <w:highlight w:val="white"/>
              </w:rPr>
              <w:t xml:space="preserve">, </w:t>
            </w:r>
            <w:r w:rsidRPr="000563E9">
              <w:rPr>
                <w:rFonts w:asciiTheme="majorHAnsi" w:eastAsia="Times New Roman" w:hAnsiTheme="majorHAnsi" w:cstheme="majorHAnsi"/>
                <w:b/>
                <w:strike/>
                <w:sz w:val="20"/>
                <w:szCs w:val="20"/>
                <w:highlight w:val="white"/>
              </w:rPr>
              <w:t>podrán</w:t>
            </w:r>
            <w:r w:rsidRPr="000563E9">
              <w:rPr>
                <w:rFonts w:asciiTheme="majorHAnsi" w:eastAsia="Times New Roman" w:hAnsiTheme="majorHAnsi" w:cstheme="majorHAnsi"/>
                <w:sz w:val="20"/>
                <w:szCs w:val="20"/>
                <w:highlight w:val="white"/>
              </w:rPr>
              <w:t xml:space="preserve"> en los casos previstos en el numeral 2 de este artículo, interpretar los documentos contractuales y las estipulaciones en ellos convenidas, introducir modificaciones a lo contratado y, cuando las condiciones particulares de la prestación así lo exijan, terminar unilateralmente el contrato celebrado.</w:t>
            </w:r>
          </w:p>
          <w:p w14:paraId="72322F35" w14:textId="77777777" w:rsidR="00425456" w:rsidRPr="000563E9" w:rsidRDefault="00425456" w:rsidP="00425456">
            <w:pPr>
              <w:jc w:val="both"/>
              <w:rPr>
                <w:rFonts w:asciiTheme="majorHAnsi" w:eastAsia="Times New Roman" w:hAnsiTheme="majorHAnsi" w:cstheme="majorHAnsi"/>
                <w:sz w:val="20"/>
                <w:szCs w:val="20"/>
                <w:highlight w:val="white"/>
              </w:rPr>
            </w:pPr>
          </w:p>
          <w:p w14:paraId="0A49E9A3"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En los actos en que se ejerciten algunas de estas potestades excepcionales deberá procederse al reconocimiento y orden de pago de las compensaciones e indemnizaciones a que tengan derecho las personas objeto de tales medidas y se aplicarán los mecanismos de ajuste de las condiciones y términos contractuales a que haya lugar, todo ello con el fin de mantener la ecuación o equilibrio inicial.</w:t>
            </w:r>
          </w:p>
          <w:p w14:paraId="5094BC8C" w14:textId="77777777" w:rsidR="00425456" w:rsidRPr="000563E9" w:rsidRDefault="00425456" w:rsidP="00425456">
            <w:pPr>
              <w:jc w:val="both"/>
              <w:rPr>
                <w:rFonts w:asciiTheme="majorHAnsi" w:eastAsia="Times New Roman" w:hAnsiTheme="majorHAnsi" w:cstheme="majorHAnsi"/>
                <w:sz w:val="20"/>
                <w:szCs w:val="20"/>
                <w:highlight w:val="white"/>
              </w:rPr>
            </w:pPr>
          </w:p>
          <w:p w14:paraId="751238BF"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Contra los actos administrativos que ordenen la interpretación, modificación y terminación unilateral, procederá el recurso de reposición, sin perjuicio de la acción contractual que puede intentar el contratista, según lo previsto en el artículo 77 de esta Ley.</w:t>
            </w:r>
          </w:p>
          <w:p w14:paraId="5717FB2F" w14:textId="77777777" w:rsidR="00425456" w:rsidRPr="000563E9" w:rsidRDefault="00425456" w:rsidP="00425456">
            <w:pPr>
              <w:jc w:val="both"/>
              <w:rPr>
                <w:rFonts w:asciiTheme="majorHAnsi" w:eastAsia="Times New Roman" w:hAnsiTheme="majorHAnsi" w:cstheme="majorHAnsi"/>
                <w:sz w:val="20"/>
                <w:szCs w:val="20"/>
                <w:highlight w:val="white"/>
              </w:rPr>
            </w:pPr>
          </w:p>
          <w:p w14:paraId="4E0C2765"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2o.</w:t>
            </w:r>
            <w:r w:rsidRPr="000563E9">
              <w:rPr>
                <w:rFonts w:asciiTheme="majorHAnsi" w:eastAsia="Times New Roman" w:hAnsiTheme="majorHAnsi" w:cstheme="majorHAnsi"/>
                <w:sz w:val="20"/>
                <w:szCs w:val="20"/>
                <w:highlight w:val="white"/>
              </w:rPr>
              <w:t xml:space="preserve">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w:t>
            </w:r>
          </w:p>
          <w:p w14:paraId="4350280E" w14:textId="77777777" w:rsidR="00425456" w:rsidRPr="000563E9" w:rsidRDefault="00425456" w:rsidP="00425456">
            <w:pPr>
              <w:jc w:val="both"/>
              <w:rPr>
                <w:rFonts w:asciiTheme="majorHAnsi" w:eastAsia="Times New Roman" w:hAnsiTheme="majorHAnsi" w:cstheme="majorHAnsi"/>
                <w:sz w:val="20"/>
                <w:szCs w:val="20"/>
                <w:highlight w:val="white"/>
              </w:rPr>
            </w:pPr>
          </w:p>
          <w:p w14:paraId="751D7D2B"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Las entidades estatales podrán pactar estas cláusulas en los contratos de suministro y de prestación de servicios.</w:t>
            </w:r>
          </w:p>
          <w:p w14:paraId="0757E3E5" w14:textId="77777777" w:rsidR="00425456" w:rsidRPr="000563E9" w:rsidRDefault="00425456" w:rsidP="00425456">
            <w:pPr>
              <w:jc w:val="both"/>
              <w:rPr>
                <w:rFonts w:asciiTheme="majorHAnsi" w:eastAsia="Times New Roman" w:hAnsiTheme="majorHAnsi" w:cstheme="majorHAnsi"/>
                <w:sz w:val="20"/>
                <w:szCs w:val="20"/>
                <w:highlight w:val="white"/>
              </w:rPr>
            </w:pPr>
          </w:p>
          <w:p w14:paraId="51CE72AD"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En los casos previstos en este numeral, las cláusulas excepcionales se entienden pactadas aun cuando no se consignen expresamente.</w:t>
            </w:r>
          </w:p>
          <w:p w14:paraId="7812304F" w14:textId="77777777" w:rsidR="00425456" w:rsidRPr="000563E9" w:rsidRDefault="00425456" w:rsidP="00425456">
            <w:pPr>
              <w:jc w:val="both"/>
              <w:rPr>
                <w:rFonts w:asciiTheme="majorHAnsi" w:eastAsia="Times New Roman" w:hAnsiTheme="majorHAnsi" w:cstheme="majorHAnsi"/>
                <w:sz w:val="20"/>
                <w:szCs w:val="20"/>
                <w:highlight w:val="white"/>
              </w:rPr>
            </w:pPr>
          </w:p>
          <w:p w14:paraId="6CD44241" w14:textId="77777777" w:rsidR="00425456" w:rsidRPr="000563E9" w:rsidRDefault="00425456" w:rsidP="00425456">
            <w:pPr>
              <w:jc w:val="both"/>
              <w:rPr>
                <w:rFonts w:asciiTheme="majorHAnsi" w:eastAsia="Times New Roman" w:hAnsiTheme="majorHAnsi" w:cstheme="majorHAnsi"/>
                <w:sz w:val="20"/>
                <w:szCs w:val="20"/>
                <w:highlight w:val="white"/>
                <w:u w:val="single"/>
              </w:rPr>
            </w:pPr>
            <w:r w:rsidRPr="000563E9">
              <w:rPr>
                <w:rFonts w:asciiTheme="majorHAnsi" w:eastAsia="Times New Roman" w:hAnsiTheme="majorHAnsi" w:cstheme="majorHAnsi"/>
                <w:b/>
                <w:sz w:val="20"/>
                <w:szCs w:val="20"/>
                <w:highlight w:val="white"/>
                <w:u w:val="single"/>
              </w:rPr>
              <w:t>PARÁGRAFO 1:</w:t>
            </w:r>
            <w:r w:rsidRPr="000563E9">
              <w:rPr>
                <w:rFonts w:asciiTheme="majorHAnsi" w:eastAsia="Times New Roman" w:hAnsiTheme="majorHAnsi" w:cstheme="majorHAnsi"/>
                <w:sz w:val="20"/>
                <w:szCs w:val="20"/>
                <w:highlight w:val="white"/>
                <w:u w:val="single"/>
              </w:rPr>
              <w:t xml:space="preserve"> </w:t>
            </w:r>
            <w:proofErr w:type="gramStart"/>
            <w:r w:rsidRPr="000563E9">
              <w:rPr>
                <w:rFonts w:asciiTheme="majorHAnsi" w:eastAsia="Times New Roman" w:hAnsiTheme="majorHAnsi" w:cstheme="majorHAnsi"/>
                <w:b/>
                <w:bCs/>
                <w:sz w:val="20"/>
                <w:szCs w:val="20"/>
                <w:highlight w:val="white"/>
                <w:u w:val="single"/>
              </w:rPr>
              <w:t>Le</w:t>
            </w:r>
            <w:proofErr w:type="gramEnd"/>
            <w:r w:rsidRPr="000563E9">
              <w:rPr>
                <w:rFonts w:asciiTheme="majorHAnsi" w:eastAsia="Times New Roman" w:hAnsiTheme="majorHAnsi" w:cstheme="majorHAnsi"/>
                <w:b/>
                <w:bCs/>
                <w:sz w:val="20"/>
                <w:szCs w:val="20"/>
                <w:highlight w:val="white"/>
                <w:u w:val="single"/>
              </w:rPr>
              <w:t xml:space="preserv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p w14:paraId="25FEA5AF" w14:textId="77777777" w:rsidR="00425456" w:rsidRPr="000563E9" w:rsidRDefault="00425456" w:rsidP="00425456">
            <w:pPr>
              <w:jc w:val="both"/>
              <w:rPr>
                <w:rFonts w:asciiTheme="majorHAnsi" w:eastAsia="Times New Roman" w:hAnsiTheme="majorHAnsi" w:cstheme="majorHAnsi"/>
                <w:sz w:val="20"/>
                <w:szCs w:val="20"/>
                <w:highlight w:val="white"/>
              </w:rPr>
            </w:pPr>
          </w:p>
          <w:p w14:paraId="3526FDF8" w14:textId="77777777" w:rsidR="00425456" w:rsidRPr="000563E9" w:rsidRDefault="00425456" w:rsidP="00425456">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PARÁGRAFO 2.-</w:t>
            </w:r>
            <w:r w:rsidRPr="000563E9">
              <w:rPr>
                <w:rFonts w:asciiTheme="majorHAnsi" w:eastAsia="Times New Roman" w:hAnsiTheme="majorHAnsi" w:cstheme="majorHAnsi"/>
                <w:sz w:val="20"/>
                <w:szCs w:val="20"/>
                <w:highlight w:val="white"/>
              </w:rPr>
              <w:t xml:space="preserve"> 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w:t>
            </w:r>
          </w:p>
          <w:p w14:paraId="7DEFE71D" w14:textId="77777777" w:rsidR="001E2B2C" w:rsidRPr="000563E9" w:rsidRDefault="001E2B2C" w:rsidP="00FE4C6B">
            <w:pPr>
              <w:jc w:val="both"/>
              <w:rPr>
                <w:rFonts w:asciiTheme="majorHAnsi" w:hAnsiTheme="majorHAnsi" w:cstheme="majorHAnsi"/>
                <w:sz w:val="20"/>
                <w:szCs w:val="20"/>
              </w:rPr>
            </w:pPr>
          </w:p>
        </w:tc>
        <w:tc>
          <w:tcPr>
            <w:tcW w:w="6055" w:type="dxa"/>
          </w:tcPr>
          <w:p w14:paraId="05FF3DC5" w14:textId="4F581883" w:rsidR="00531E51" w:rsidRPr="000563E9" w:rsidRDefault="00531E51" w:rsidP="00531E51">
            <w:pPr>
              <w:jc w:val="both"/>
              <w:rPr>
                <w:rFonts w:asciiTheme="majorHAnsi" w:hAnsiTheme="majorHAnsi" w:cstheme="majorHAnsi"/>
                <w:sz w:val="20"/>
                <w:szCs w:val="20"/>
              </w:rPr>
            </w:pPr>
            <w:r w:rsidRPr="00531E51">
              <w:rPr>
                <w:rFonts w:asciiTheme="majorHAnsi" w:hAnsiTheme="majorHAnsi" w:cstheme="majorHAnsi"/>
                <w:sz w:val="20"/>
                <w:szCs w:val="20"/>
              </w:rPr>
              <w:t>El cambio propuesto no resulta compatible con la finalidad del numeral 1° del artículo 14 de la Ley 80 de 1993, en la medida en que dicha disposición se refiere a las cláusulas excepcionales al derecho común. En efecto, para algunas de estas cláusulas, la continuidad en la ejecución del contrato no es asumida directamente por la entidad pública, lo que evidencia la improcedencia de la modificación planteada</w:t>
            </w:r>
            <w:r w:rsidR="0058008F" w:rsidRPr="000563E9">
              <w:rPr>
                <w:rFonts w:asciiTheme="majorHAnsi" w:hAnsiTheme="majorHAnsi" w:cstheme="majorHAnsi"/>
                <w:sz w:val="20"/>
                <w:szCs w:val="20"/>
              </w:rPr>
              <w:t xml:space="preserve"> y el desconocimiento del alcance y contenido de las cláusulas excepcionales.</w:t>
            </w:r>
          </w:p>
          <w:p w14:paraId="447E9F3B" w14:textId="77777777" w:rsidR="00531E51" w:rsidRPr="00531E51" w:rsidRDefault="00531E51" w:rsidP="00531E51">
            <w:pPr>
              <w:jc w:val="both"/>
              <w:rPr>
                <w:rFonts w:asciiTheme="majorHAnsi" w:hAnsiTheme="majorHAnsi" w:cstheme="majorHAnsi"/>
                <w:sz w:val="20"/>
                <w:szCs w:val="20"/>
              </w:rPr>
            </w:pPr>
          </w:p>
          <w:p w14:paraId="6C253D45" w14:textId="77777777" w:rsidR="001E2B2C" w:rsidRPr="000563E9" w:rsidRDefault="00531E51" w:rsidP="00214A8A">
            <w:pPr>
              <w:jc w:val="both"/>
              <w:rPr>
                <w:rFonts w:asciiTheme="majorHAnsi" w:hAnsiTheme="majorHAnsi" w:cstheme="majorHAnsi"/>
                <w:sz w:val="20"/>
                <w:szCs w:val="20"/>
              </w:rPr>
            </w:pPr>
            <w:r w:rsidRPr="00531E51">
              <w:rPr>
                <w:rFonts w:asciiTheme="majorHAnsi" w:hAnsiTheme="majorHAnsi" w:cstheme="majorHAnsi"/>
                <w:sz w:val="20"/>
                <w:szCs w:val="20"/>
              </w:rPr>
              <w:t>Adicionalmente, la fijación de un umbral genérico del 20% desconoce las particularidades propias de cada proceso de contratación</w:t>
            </w:r>
            <w:r w:rsidR="00214A8A" w:rsidRPr="000563E9">
              <w:rPr>
                <w:rFonts w:asciiTheme="majorHAnsi" w:hAnsiTheme="majorHAnsi" w:cstheme="majorHAnsi"/>
                <w:sz w:val="20"/>
                <w:szCs w:val="20"/>
              </w:rPr>
              <w:t>.</w:t>
            </w:r>
          </w:p>
          <w:p w14:paraId="52C793FD" w14:textId="77777777" w:rsidR="00B35A60" w:rsidRPr="000563E9" w:rsidRDefault="00B35A60" w:rsidP="00214A8A">
            <w:pPr>
              <w:jc w:val="both"/>
              <w:rPr>
                <w:rFonts w:asciiTheme="majorHAnsi" w:hAnsiTheme="majorHAnsi" w:cstheme="majorHAnsi"/>
                <w:sz w:val="20"/>
                <w:szCs w:val="20"/>
              </w:rPr>
            </w:pPr>
          </w:p>
          <w:p w14:paraId="77333078" w14:textId="4C5C4FB8" w:rsidR="00E52894" w:rsidRDefault="00E52894" w:rsidP="00E52894">
            <w:pPr>
              <w:jc w:val="both"/>
              <w:rPr>
                <w:rFonts w:asciiTheme="majorHAnsi" w:hAnsiTheme="majorHAnsi" w:cstheme="majorHAnsi"/>
                <w:sz w:val="20"/>
                <w:szCs w:val="20"/>
              </w:rPr>
            </w:pPr>
            <w:r w:rsidRPr="00E52894">
              <w:rPr>
                <w:rFonts w:asciiTheme="majorHAnsi" w:hAnsiTheme="majorHAnsi" w:cstheme="majorHAnsi"/>
                <w:sz w:val="20"/>
                <w:szCs w:val="20"/>
              </w:rPr>
              <w:t xml:space="preserve">Por otra parte, el alcance de la supervisión se encuentra definido en la Ley 1474 de 2011, por lo que la modificación propuesta </w:t>
            </w:r>
            <w:r w:rsidR="002C2A2B" w:rsidRPr="000563E9">
              <w:rPr>
                <w:rFonts w:asciiTheme="majorHAnsi" w:hAnsiTheme="majorHAnsi" w:cstheme="majorHAnsi"/>
                <w:sz w:val="20"/>
                <w:szCs w:val="20"/>
              </w:rPr>
              <w:t xml:space="preserve">es redundante y a su vez </w:t>
            </w:r>
            <w:r w:rsidRPr="00E52894">
              <w:rPr>
                <w:rFonts w:asciiTheme="majorHAnsi" w:hAnsiTheme="majorHAnsi" w:cstheme="majorHAnsi"/>
                <w:sz w:val="20"/>
                <w:szCs w:val="20"/>
              </w:rPr>
              <w:t>desconoce tanto la existencia de las interventorías como los alcances particulares que pueden establecerse en cada contrato.</w:t>
            </w:r>
          </w:p>
          <w:p w14:paraId="5F6586FF" w14:textId="77777777" w:rsidR="002A01B2" w:rsidRPr="00E52894" w:rsidRDefault="002A01B2" w:rsidP="00E52894">
            <w:pPr>
              <w:jc w:val="both"/>
              <w:rPr>
                <w:rFonts w:asciiTheme="majorHAnsi" w:hAnsiTheme="majorHAnsi" w:cstheme="majorHAnsi"/>
                <w:sz w:val="20"/>
                <w:szCs w:val="20"/>
              </w:rPr>
            </w:pPr>
          </w:p>
          <w:p w14:paraId="01D759E4" w14:textId="0CDB0C72" w:rsidR="00E52894" w:rsidRPr="00E52894" w:rsidRDefault="00E52894" w:rsidP="00E52894">
            <w:pPr>
              <w:jc w:val="both"/>
              <w:rPr>
                <w:rFonts w:asciiTheme="majorHAnsi" w:hAnsiTheme="majorHAnsi" w:cstheme="majorHAnsi"/>
                <w:sz w:val="20"/>
                <w:szCs w:val="20"/>
              </w:rPr>
            </w:pPr>
            <w:r w:rsidRPr="00E52894">
              <w:rPr>
                <w:rFonts w:asciiTheme="majorHAnsi" w:hAnsiTheme="majorHAnsi" w:cstheme="majorHAnsi"/>
                <w:sz w:val="20"/>
                <w:szCs w:val="20"/>
              </w:rPr>
              <w:t>Asimismo, la propuesta omite considerar la multiplicidad de instrumentos internos</w:t>
            </w:r>
            <w:r w:rsidR="00187E96" w:rsidRPr="000563E9">
              <w:rPr>
                <w:rFonts w:asciiTheme="majorHAnsi" w:hAnsiTheme="majorHAnsi" w:cstheme="majorHAnsi"/>
                <w:sz w:val="20"/>
                <w:szCs w:val="20"/>
              </w:rPr>
              <w:t xml:space="preserve">, </w:t>
            </w:r>
            <w:r w:rsidRPr="00E52894">
              <w:rPr>
                <w:rFonts w:asciiTheme="majorHAnsi" w:hAnsiTheme="majorHAnsi" w:cstheme="majorHAnsi"/>
                <w:sz w:val="20"/>
                <w:szCs w:val="20"/>
              </w:rPr>
              <w:t>distintos del manual de contratación</w:t>
            </w:r>
            <w:r w:rsidR="00187E96" w:rsidRPr="000563E9">
              <w:rPr>
                <w:rFonts w:asciiTheme="majorHAnsi" w:hAnsiTheme="majorHAnsi" w:cstheme="majorHAnsi"/>
                <w:sz w:val="20"/>
                <w:szCs w:val="20"/>
              </w:rPr>
              <w:t xml:space="preserve">, </w:t>
            </w:r>
            <w:r w:rsidRPr="00E52894">
              <w:rPr>
                <w:rFonts w:asciiTheme="majorHAnsi" w:hAnsiTheme="majorHAnsi" w:cstheme="majorHAnsi"/>
                <w:sz w:val="20"/>
                <w:szCs w:val="20"/>
              </w:rPr>
              <w:t>mediante los cuales las entidades regulan el ejercicio de la supervisión</w:t>
            </w:r>
            <w:r w:rsidR="00620DA5" w:rsidRPr="000563E9">
              <w:rPr>
                <w:rFonts w:asciiTheme="majorHAnsi" w:hAnsiTheme="majorHAnsi" w:cstheme="majorHAnsi"/>
                <w:sz w:val="20"/>
                <w:szCs w:val="20"/>
              </w:rPr>
              <w:t xml:space="preserve">. </w:t>
            </w:r>
          </w:p>
          <w:p w14:paraId="77823A5E" w14:textId="189069AF" w:rsidR="00B35A60" w:rsidRPr="000563E9" w:rsidRDefault="00B35A60" w:rsidP="00214A8A">
            <w:pPr>
              <w:jc w:val="both"/>
              <w:rPr>
                <w:rFonts w:asciiTheme="majorHAnsi" w:hAnsiTheme="majorHAnsi" w:cstheme="majorHAnsi"/>
                <w:sz w:val="20"/>
                <w:szCs w:val="20"/>
              </w:rPr>
            </w:pPr>
          </w:p>
        </w:tc>
      </w:tr>
      <w:tr w:rsidR="001E2B2C" w:rsidRPr="000563E9" w14:paraId="4DC6380F" w14:textId="77777777" w:rsidTr="00BA78F5">
        <w:tc>
          <w:tcPr>
            <w:tcW w:w="3539" w:type="dxa"/>
          </w:tcPr>
          <w:p w14:paraId="4EF50FC9" w14:textId="161936A2" w:rsidR="001E2B2C" w:rsidRPr="000563E9" w:rsidRDefault="00013CB4" w:rsidP="00FE4C6B">
            <w:pPr>
              <w:jc w:val="both"/>
              <w:rPr>
                <w:rFonts w:asciiTheme="majorHAnsi" w:hAnsiTheme="majorHAnsi" w:cstheme="majorHAnsi"/>
                <w:sz w:val="20"/>
                <w:szCs w:val="20"/>
              </w:rPr>
            </w:pPr>
            <w:r w:rsidRPr="000563E9">
              <w:rPr>
                <w:rFonts w:asciiTheme="majorHAnsi" w:hAnsiTheme="majorHAnsi" w:cstheme="majorHAnsi"/>
                <w:b/>
                <w:bCs/>
                <w:sz w:val="20"/>
                <w:szCs w:val="20"/>
              </w:rPr>
              <w:t>ARTICULO 15. DE LA INTERPRETACION UNILATERAL.</w:t>
            </w:r>
            <w:r w:rsidRPr="000563E9">
              <w:rPr>
                <w:rFonts w:asciiTheme="majorHAnsi" w:hAnsiTheme="majorHAnsi" w:cstheme="majorHAnsi"/>
                <w:sz w:val="20"/>
                <w:szCs w:val="20"/>
              </w:rPr>
              <w:t> Si durante la ejecución del contrato surgen discrepancias entre las partes sobre la interpretación de algunas de sus estipulaciones que puedan conducir a la paralización o a la afectación grave del servicio público que se pretende satisfacer con el objeto contratado, la entidad estatal, si no se logra acuerdo, interpretará en acto administrativo debidamente motivado, las estipulaciones o cláusulas objeto de la diferencia. </w:t>
            </w:r>
          </w:p>
        </w:tc>
        <w:tc>
          <w:tcPr>
            <w:tcW w:w="3402" w:type="dxa"/>
          </w:tcPr>
          <w:p w14:paraId="5CE3DBC1" w14:textId="77777777" w:rsidR="002C2A2B" w:rsidRPr="000563E9" w:rsidRDefault="002C2A2B" w:rsidP="002C2A2B">
            <w:pPr>
              <w:jc w:val="both"/>
              <w:rPr>
                <w:rFonts w:asciiTheme="majorHAnsi" w:eastAsia="Times New Roman" w:hAnsiTheme="majorHAnsi" w:cstheme="majorHAnsi"/>
                <w:b/>
                <w:sz w:val="20"/>
                <w:szCs w:val="20"/>
                <w:highlight w:val="white"/>
              </w:rPr>
            </w:pPr>
            <w:r w:rsidRPr="000563E9">
              <w:rPr>
                <w:rFonts w:asciiTheme="majorHAnsi" w:eastAsia="Times New Roman" w:hAnsiTheme="majorHAnsi" w:cstheme="majorHAnsi"/>
                <w:b/>
                <w:sz w:val="20"/>
                <w:szCs w:val="20"/>
                <w:highlight w:val="white"/>
              </w:rPr>
              <w:t xml:space="preserve">ARTÍCULO 11. </w:t>
            </w:r>
            <w:proofErr w:type="spellStart"/>
            <w:r w:rsidRPr="000563E9">
              <w:rPr>
                <w:rFonts w:asciiTheme="majorHAnsi" w:eastAsia="Times New Roman" w:hAnsiTheme="majorHAnsi" w:cstheme="majorHAnsi"/>
                <w:sz w:val="20"/>
                <w:szCs w:val="20"/>
                <w:highlight w:val="white"/>
              </w:rPr>
              <w:t>Modifiquese</w:t>
            </w:r>
            <w:proofErr w:type="spellEnd"/>
            <w:r w:rsidRPr="000563E9">
              <w:rPr>
                <w:rFonts w:asciiTheme="majorHAnsi" w:eastAsia="Times New Roman" w:hAnsiTheme="majorHAnsi" w:cstheme="majorHAnsi"/>
                <w:sz w:val="20"/>
                <w:szCs w:val="20"/>
                <w:highlight w:val="white"/>
              </w:rPr>
              <w:t xml:space="preserve"> el artículo 15 de la ley 80 de 1993, el cual quedaría así:</w:t>
            </w:r>
          </w:p>
          <w:p w14:paraId="2C726DD4" w14:textId="77777777" w:rsidR="002C2A2B" w:rsidRPr="000563E9" w:rsidRDefault="002C2A2B" w:rsidP="002C2A2B">
            <w:pPr>
              <w:jc w:val="both"/>
              <w:rPr>
                <w:rFonts w:asciiTheme="majorHAnsi" w:eastAsia="Times New Roman" w:hAnsiTheme="majorHAnsi" w:cstheme="majorHAnsi"/>
                <w:b/>
                <w:sz w:val="20"/>
                <w:szCs w:val="20"/>
                <w:highlight w:val="white"/>
              </w:rPr>
            </w:pPr>
          </w:p>
          <w:p w14:paraId="3CEC3B60" w14:textId="77777777" w:rsidR="002C2A2B" w:rsidRPr="000563E9" w:rsidRDefault="002C2A2B" w:rsidP="002C2A2B">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15. DE LA INTERPRETACIÓN UNILATERAL.</w:t>
            </w:r>
            <w:r w:rsidRPr="000563E9">
              <w:rPr>
                <w:rFonts w:asciiTheme="majorHAnsi" w:eastAsia="Times New Roman" w:hAnsiTheme="majorHAnsi" w:cstheme="majorHAnsi"/>
                <w:sz w:val="20"/>
                <w:szCs w:val="20"/>
                <w:highlight w:val="white"/>
              </w:rPr>
              <w:t xml:space="preserve"> Si durante la ejecución del contrato surgen discrepancias entre las partes sobre la interpretación de algunas de sus estipulaciones que puedan conducir a la paralización o a la afectación grave del servicio público </w:t>
            </w:r>
            <w:r w:rsidRPr="000563E9">
              <w:rPr>
                <w:rFonts w:asciiTheme="majorHAnsi" w:eastAsia="Times New Roman" w:hAnsiTheme="majorHAnsi" w:cstheme="majorHAnsi"/>
                <w:b/>
                <w:i/>
                <w:sz w:val="20"/>
                <w:szCs w:val="20"/>
                <w:highlight w:val="white"/>
                <w:u w:val="single"/>
              </w:rPr>
              <w:t>que implique al menos, la afectación del 20% de la ejecución de la obra o de la prestación del servicio y</w:t>
            </w:r>
            <w:r w:rsidRPr="000563E9">
              <w:rPr>
                <w:rFonts w:asciiTheme="majorHAnsi" w:eastAsia="Times New Roman" w:hAnsiTheme="majorHAnsi" w:cstheme="majorHAnsi"/>
                <w:sz w:val="20"/>
                <w:szCs w:val="20"/>
                <w:highlight w:val="white"/>
              </w:rPr>
              <w:t xml:space="preserve"> que se pretende satisfacer con el objeto contratado, la entidad estatal, si no se logra </w:t>
            </w:r>
            <w:r w:rsidRPr="000563E9">
              <w:rPr>
                <w:rFonts w:asciiTheme="majorHAnsi" w:eastAsia="Times New Roman" w:hAnsiTheme="majorHAnsi" w:cstheme="majorHAnsi"/>
                <w:sz w:val="20"/>
                <w:szCs w:val="20"/>
                <w:highlight w:val="white"/>
                <w:u w:val="single"/>
              </w:rPr>
              <w:t xml:space="preserve">inicialmente </w:t>
            </w:r>
            <w:r w:rsidRPr="000563E9">
              <w:rPr>
                <w:rFonts w:asciiTheme="majorHAnsi" w:eastAsia="Times New Roman" w:hAnsiTheme="majorHAnsi" w:cstheme="majorHAnsi"/>
                <w:sz w:val="20"/>
                <w:szCs w:val="20"/>
                <w:highlight w:val="white"/>
              </w:rPr>
              <w:t xml:space="preserve">un acuerdo conciliatorio entre las partes, se </w:t>
            </w:r>
            <w:proofErr w:type="spellStart"/>
            <w:r w:rsidRPr="000563E9">
              <w:rPr>
                <w:rFonts w:asciiTheme="majorHAnsi" w:eastAsia="Times New Roman" w:hAnsiTheme="majorHAnsi" w:cstheme="majorHAnsi"/>
                <w:sz w:val="20"/>
                <w:szCs w:val="20"/>
                <w:highlight w:val="white"/>
              </w:rPr>
              <w:t>procederà</w:t>
            </w:r>
            <w:proofErr w:type="spellEnd"/>
            <w:r w:rsidRPr="000563E9">
              <w:rPr>
                <w:rFonts w:asciiTheme="majorHAnsi" w:eastAsia="Times New Roman" w:hAnsiTheme="majorHAnsi" w:cstheme="majorHAnsi"/>
                <w:sz w:val="20"/>
                <w:szCs w:val="20"/>
                <w:highlight w:val="white"/>
              </w:rPr>
              <w:t xml:space="preserve"> mediante  acto administrativo debidamente motivado, las estipulaciones o cláusulas objeto de la diferencia.</w:t>
            </w:r>
          </w:p>
          <w:p w14:paraId="4DAEB827" w14:textId="77777777" w:rsidR="002C2A2B" w:rsidRPr="000563E9" w:rsidRDefault="002C2A2B" w:rsidP="002C2A2B">
            <w:pPr>
              <w:jc w:val="both"/>
              <w:rPr>
                <w:rFonts w:asciiTheme="majorHAnsi" w:eastAsia="Times New Roman" w:hAnsiTheme="majorHAnsi" w:cstheme="majorHAnsi"/>
                <w:sz w:val="20"/>
                <w:szCs w:val="20"/>
                <w:highlight w:val="white"/>
              </w:rPr>
            </w:pPr>
          </w:p>
          <w:p w14:paraId="2A6B7902" w14:textId="149A0F9C" w:rsidR="001E2B2C" w:rsidRPr="000563E9" w:rsidRDefault="002C2A2B" w:rsidP="00FE4C6B">
            <w:pPr>
              <w:jc w:val="both"/>
              <w:rPr>
                <w:rFonts w:asciiTheme="majorHAnsi" w:eastAsia="Times New Roman" w:hAnsiTheme="majorHAnsi" w:cstheme="majorHAnsi"/>
                <w:sz w:val="20"/>
                <w:szCs w:val="20"/>
                <w:u w:val="single"/>
              </w:rPr>
            </w:pPr>
            <w:r w:rsidRPr="000563E9">
              <w:rPr>
                <w:rFonts w:asciiTheme="majorHAnsi" w:eastAsia="Times New Roman" w:hAnsiTheme="majorHAnsi" w:cstheme="majorHAnsi"/>
                <w:b/>
                <w:sz w:val="20"/>
                <w:szCs w:val="20"/>
                <w:highlight w:val="white"/>
                <w:u w:val="single"/>
              </w:rPr>
              <w:t>PARÁGRAFO:</w:t>
            </w:r>
            <w:r w:rsidRPr="000563E9">
              <w:rPr>
                <w:rFonts w:asciiTheme="majorHAnsi" w:eastAsia="Times New Roman" w:hAnsiTheme="majorHAnsi" w:cstheme="majorHAnsi"/>
                <w:sz w:val="20"/>
                <w:szCs w:val="20"/>
                <w:highlight w:val="white"/>
                <w:u w:val="single"/>
              </w:rPr>
              <w:t xml:space="preserve"> </w:t>
            </w:r>
            <w:proofErr w:type="gramStart"/>
            <w:r w:rsidRPr="000563E9">
              <w:rPr>
                <w:rFonts w:asciiTheme="majorHAnsi" w:eastAsia="Times New Roman" w:hAnsiTheme="majorHAnsi" w:cstheme="majorHAnsi"/>
                <w:b/>
                <w:bCs/>
                <w:sz w:val="20"/>
                <w:szCs w:val="20"/>
                <w:u w:val="single"/>
              </w:rPr>
              <w:t>Le</w:t>
            </w:r>
            <w:proofErr w:type="gramEnd"/>
            <w:r w:rsidRPr="000563E9">
              <w:rPr>
                <w:rFonts w:asciiTheme="majorHAnsi" w:eastAsia="Times New Roman" w:hAnsiTheme="majorHAnsi" w:cstheme="majorHAnsi"/>
                <w:b/>
                <w:bCs/>
                <w:sz w:val="20"/>
                <w:szCs w:val="20"/>
                <w:u w:val="single"/>
              </w:rPr>
              <w:t xml:space="preserv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tc>
        <w:tc>
          <w:tcPr>
            <w:tcW w:w="6055" w:type="dxa"/>
          </w:tcPr>
          <w:p w14:paraId="407B2F5C" w14:textId="0817CE26" w:rsidR="002C2A2B" w:rsidRPr="000563E9" w:rsidRDefault="002C2A2B" w:rsidP="002C2A2B">
            <w:pPr>
              <w:jc w:val="both"/>
              <w:rPr>
                <w:rFonts w:asciiTheme="majorHAnsi" w:hAnsiTheme="majorHAnsi" w:cstheme="majorHAnsi"/>
                <w:sz w:val="20"/>
                <w:szCs w:val="20"/>
              </w:rPr>
            </w:pPr>
            <w:r w:rsidRPr="000563E9">
              <w:rPr>
                <w:rFonts w:asciiTheme="majorHAnsi" w:hAnsiTheme="majorHAnsi" w:cstheme="majorHAnsi"/>
                <w:sz w:val="20"/>
                <w:szCs w:val="20"/>
              </w:rPr>
              <w:t xml:space="preserve">El </w:t>
            </w:r>
            <w:r w:rsidRPr="00E52894">
              <w:rPr>
                <w:rFonts w:asciiTheme="majorHAnsi" w:hAnsiTheme="majorHAnsi" w:cstheme="majorHAnsi"/>
                <w:sz w:val="20"/>
                <w:szCs w:val="20"/>
              </w:rPr>
              <w:t xml:space="preserve">alcance de la supervisión se encuentra definido en la Ley 1474 de 2011, por lo que la modificación propuesta </w:t>
            </w:r>
            <w:r w:rsidRPr="000563E9">
              <w:rPr>
                <w:rFonts w:asciiTheme="majorHAnsi" w:hAnsiTheme="majorHAnsi" w:cstheme="majorHAnsi"/>
                <w:sz w:val="20"/>
                <w:szCs w:val="20"/>
              </w:rPr>
              <w:t xml:space="preserve">es redundante y a su vez </w:t>
            </w:r>
            <w:r w:rsidRPr="00E52894">
              <w:rPr>
                <w:rFonts w:asciiTheme="majorHAnsi" w:hAnsiTheme="majorHAnsi" w:cstheme="majorHAnsi"/>
                <w:sz w:val="20"/>
                <w:szCs w:val="20"/>
              </w:rPr>
              <w:t>desconoce tanto la existencia de las interventorías como los alcances particulares que pueden establecerse en cada contrato.</w:t>
            </w:r>
          </w:p>
          <w:p w14:paraId="4DA77284" w14:textId="77777777" w:rsidR="002C2A2B" w:rsidRPr="00E52894" w:rsidRDefault="002C2A2B" w:rsidP="002C2A2B">
            <w:pPr>
              <w:jc w:val="both"/>
              <w:rPr>
                <w:rFonts w:asciiTheme="majorHAnsi" w:hAnsiTheme="majorHAnsi" w:cstheme="majorHAnsi"/>
                <w:sz w:val="20"/>
                <w:szCs w:val="20"/>
              </w:rPr>
            </w:pPr>
          </w:p>
          <w:p w14:paraId="50D4C519" w14:textId="77777777" w:rsidR="002C2A2B" w:rsidRPr="00E52894" w:rsidRDefault="002C2A2B" w:rsidP="002C2A2B">
            <w:pPr>
              <w:jc w:val="both"/>
              <w:rPr>
                <w:rFonts w:asciiTheme="majorHAnsi" w:hAnsiTheme="majorHAnsi" w:cstheme="majorHAnsi"/>
                <w:sz w:val="20"/>
                <w:szCs w:val="20"/>
              </w:rPr>
            </w:pPr>
            <w:r w:rsidRPr="00E52894">
              <w:rPr>
                <w:rFonts w:asciiTheme="majorHAnsi" w:hAnsiTheme="majorHAnsi" w:cstheme="majorHAnsi"/>
                <w:sz w:val="20"/>
                <w:szCs w:val="20"/>
              </w:rPr>
              <w:t>Asimismo, la propuesta omite considerar la multiplicidad de instrumentos internos</w:t>
            </w:r>
            <w:r w:rsidRPr="000563E9">
              <w:rPr>
                <w:rFonts w:asciiTheme="majorHAnsi" w:hAnsiTheme="majorHAnsi" w:cstheme="majorHAnsi"/>
                <w:sz w:val="20"/>
                <w:szCs w:val="20"/>
              </w:rPr>
              <w:t xml:space="preserve">, </w:t>
            </w:r>
            <w:r w:rsidRPr="00E52894">
              <w:rPr>
                <w:rFonts w:asciiTheme="majorHAnsi" w:hAnsiTheme="majorHAnsi" w:cstheme="majorHAnsi"/>
                <w:sz w:val="20"/>
                <w:szCs w:val="20"/>
              </w:rPr>
              <w:t>distintos del manual de contratación</w:t>
            </w:r>
            <w:r w:rsidRPr="000563E9">
              <w:rPr>
                <w:rFonts w:asciiTheme="majorHAnsi" w:hAnsiTheme="majorHAnsi" w:cstheme="majorHAnsi"/>
                <w:sz w:val="20"/>
                <w:szCs w:val="20"/>
              </w:rPr>
              <w:t xml:space="preserve">, </w:t>
            </w:r>
            <w:r w:rsidRPr="00E52894">
              <w:rPr>
                <w:rFonts w:asciiTheme="majorHAnsi" w:hAnsiTheme="majorHAnsi" w:cstheme="majorHAnsi"/>
                <w:sz w:val="20"/>
                <w:szCs w:val="20"/>
              </w:rPr>
              <w:t>mediante los cuales las entidades regulan el ejercicio de la supervisión</w:t>
            </w:r>
            <w:r w:rsidRPr="000563E9">
              <w:rPr>
                <w:rFonts w:asciiTheme="majorHAnsi" w:hAnsiTheme="majorHAnsi" w:cstheme="majorHAnsi"/>
                <w:sz w:val="20"/>
                <w:szCs w:val="20"/>
              </w:rPr>
              <w:t xml:space="preserve">. </w:t>
            </w:r>
          </w:p>
          <w:p w14:paraId="780E0AEE" w14:textId="77777777" w:rsidR="001E2B2C" w:rsidRPr="000563E9" w:rsidRDefault="001E2B2C" w:rsidP="00FE4C6B">
            <w:pPr>
              <w:jc w:val="both"/>
              <w:rPr>
                <w:rFonts w:asciiTheme="majorHAnsi" w:hAnsiTheme="majorHAnsi" w:cstheme="majorHAnsi"/>
                <w:sz w:val="20"/>
                <w:szCs w:val="20"/>
              </w:rPr>
            </w:pPr>
          </w:p>
        </w:tc>
      </w:tr>
      <w:tr w:rsidR="001E2B2C" w:rsidRPr="000563E9" w14:paraId="5F07C289" w14:textId="77777777" w:rsidTr="00BA78F5">
        <w:tc>
          <w:tcPr>
            <w:tcW w:w="3539" w:type="dxa"/>
          </w:tcPr>
          <w:p w14:paraId="27BFB4E3" w14:textId="77777777" w:rsidR="00806C52" w:rsidRPr="00806C52" w:rsidRDefault="00806C52" w:rsidP="00806C52">
            <w:pPr>
              <w:jc w:val="both"/>
              <w:rPr>
                <w:rFonts w:asciiTheme="majorHAnsi" w:hAnsiTheme="majorHAnsi" w:cstheme="majorHAnsi"/>
                <w:sz w:val="20"/>
                <w:szCs w:val="20"/>
              </w:rPr>
            </w:pPr>
            <w:r w:rsidRPr="00806C52">
              <w:rPr>
                <w:rFonts w:asciiTheme="majorHAnsi" w:hAnsiTheme="majorHAnsi" w:cstheme="majorHAnsi"/>
                <w:b/>
                <w:bCs/>
                <w:sz w:val="20"/>
                <w:szCs w:val="20"/>
              </w:rPr>
              <w:t>ARTICULO 16. DE LA MODIFICACION UNILATERAL.</w:t>
            </w:r>
            <w:r w:rsidRPr="00806C52">
              <w:rPr>
                <w:rFonts w:asciiTheme="majorHAnsi" w:hAnsiTheme="majorHAnsi" w:cstheme="majorHAnsi"/>
                <w:sz w:val="20"/>
                <w:szCs w:val="20"/>
              </w:rPr>
              <w:t> Si durante la ejecución del contrato y para evitar la paralización o la afectación grave del servicio público que se deba satisfacer con él, fuere necesario introducir variaciones en el contrato y previamente las partes no llegan al acuerdo respectivo, la entidad en acto administrativo debidamente motivado, lo modificará mediante la supresión o adición de obras, trabajos, suministros o servicios. </w:t>
            </w:r>
          </w:p>
          <w:p w14:paraId="008B2995" w14:textId="77777777" w:rsidR="00806C52" w:rsidRPr="00806C52" w:rsidRDefault="00806C52" w:rsidP="00806C52">
            <w:pPr>
              <w:jc w:val="both"/>
              <w:rPr>
                <w:rFonts w:asciiTheme="majorHAnsi" w:hAnsiTheme="majorHAnsi" w:cstheme="majorHAnsi"/>
                <w:sz w:val="20"/>
                <w:szCs w:val="20"/>
              </w:rPr>
            </w:pPr>
            <w:r w:rsidRPr="00806C52">
              <w:rPr>
                <w:rFonts w:asciiTheme="majorHAnsi" w:hAnsiTheme="majorHAnsi" w:cstheme="majorHAnsi"/>
                <w:sz w:val="20"/>
                <w:szCs w:val="20"/>
              </w:rPr>
              <w:t>  </w:t>
            </w:r>
          </w:p>
          <w:p w14:paraId="75C6E6AF" w14:textId="77777777" w:rsidR="00806C52" w:rsidRPr="00806C52" w:rsidRDefault="00806C52" w:rsidP="00806C52">
            <w:pPr>
              <w:jc w:val="both"/>
              <w:rPr>
                <w:rFonts w:asciiTheme="majorHAnsi" w:hAnsiTheme="majorHAnsi" w:cstheme="majorHAnsi"/>
                <w:sz w:val="20"/>
                <w:szCs w:val="20"/>
              </w:rPr>
            </w:pPr>
            <w:r w:rsidRPr="00806C52">
              <w:rPr>
                <w:rFonts w:asciiTheme="majorHAnsi" w:hAnsiTheme="majorHAnsi" w:cstheme="majorHAnsi"/>
                <w:sz w:val="20"/>
                <w:szCs w:val="20"/>
              </w:rPr>
              <w:t xml:space="preserve">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w:t>
            </w:r>
            <w:proofErr w:type="gramStart"/>
            <w:r w:rsidRPr="00806C52">
              <w:rPr>
                <w:rFonts w:asciiTheme="majorHAnsi" w:hAnsiTheme="majorHAnsi" w:cstheme="majorHAnsi"/>
                <w:sz w:val="20"/>
                <w:szCs w:val="20"/>
              </w:rPr>
              <w:t>del mismo</w:t>
            </w:r>
            <w:proofErr w:type="gramEnd"/>
            <w:r w:rsidRPr="00806C52">
              <w:rPr>
                <w:rFonts w:asciiTheme="majorHAnsi" w:hAnsiTheme="majorHAnsi" w:cstheme="majorHAnsi"/>
                <w:sz w:val="20"/>
                <w:szCs w:val="20"/>
              </w:rPr>
              <w:t>. </w:t>
            </w:r>
          </w:p>
          <w:p w14:paraId="205E9BDF" w14:textId="77777777" w:rsidR="001E2B2C" w:rsidRPr="000563E9" w:rsidRDefault="001E2B2C" w:rsidP="00FE4C6B">
            <w:pPr>
              <w:jc w:val="both"/>
              <w:rPr>
                <w:rFonts w:asciiTheme="majorHAnsi" w:hAnsiTheme="majorHAnsi" w:cstheme="majorHAnsi"/>
                <w:sz w:val="20"/>
                <w:szCs w:val="20"/>
              </w:rPr>
            </w:pPr>
          </w:p>
        </w:tc>
        <w:tc>
          <w:tcPr>
            <w:tcW w:w="3402" w:type="dxa"/>
          </w:tcPr>
          <w:p w14:paraId="464803A6" w14:textId="77777777" w:rsidR="001633F1" w:rsidRPr="000563E9" w:rsidRDefault="001633F1" w:rsidP="001633F1">
            <w:pPr>
              <w:jc w:val="both"/>
              <w:rPr>
                <w:rFonts w:asciiTheme="majorHAnsi" w:eastAsia="Times New Roman" w:hAnsiTheme="majorHAnsi" w:cstheme="majorHAnsi"/>
                <w:sz w:val="20"/>
                <w:szCs w:val="20"/>
                <w:u w:val="single"/>
              </w:rPr>
            </w:pPr>
            <w:r w:rsidRPr="000563E9">
              <w:rPr>
                <w:rFonts w:asciiTheme="majorHAnsi" w:eastAsia="Times New Roman" w:hAnsiTheme="majorHAnsi" w:cstheme="majorHAnsi"/>
                <w:b/>
                <w:sz w:val="20"/>
                <w:szCs w:val="20"/>
                <w:highlight w:val="white"/>
              </w:rPr>
              <w:t xml:space="preserve">ARTÍCULO 12. </w:t>
            </w:r>
            <w:r w:rsidRPr="000563E9">
              <w:rPr>
                <w:rFonts w:asciiTheme="majorHAnsi" w:eastAsia="Times New Roman" w:hAnsiTheme="majorHAnsi" w:cstheme="majorHAnsi"/>
                <w:sz w:val="20"/>
                <w:szCs w:val="20"/>
                <w:highlight w:val="white"/>
              </w:rPr>
              <w:t>Modifíquese el artículo 16 de la ley 80 de 1993, el cual quedaría así:</w:t>
            </w:r>
          </w:p>
          <w:p w14:paraId="53C0CBF9" w14:textId="77777777" w:rsidR="001633F1" w:rsidRPr="000563E9" w:rsidRDefault="001633F1" w:rsidP="001633F1">
            <w:pPr>
              <w:jc w:val="both"/>
              <w:rPr>
                <w:rFonts w:asciiTheme="majorHAnsi" w:eastAsia="Times New Roman" w:hAnsiTheme="majorHAnsi" w:cstheme="majorHAnsi"/>
                <w:sz w:val="20"/>
                <w:szCs w:val="20"/>
                <w:u w:val="single"/>
              </w:rPr>
            </w:pPr>
          </w:p>
          <w:p w14:paraId="265DF30A" w14:textId="77777777" w:rsidR="001633F1" w:rsidRPr="000563E9" w:rsidRDefault="001633F1" w:rsidP="001633F1">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16. DE LA MODIFICACIÓN UNILATERAL.</w:t>
            </w:r>
            <w:r w:rsidRPr="000563E9">
              <w:rPr>
                <w:rFonts w:asciiTheme="majorHAnsi" w:eastAsia="Times New Roman" w:hAnsiTheme="majorHAnsi" w:cstheme="majorHAnsi"/>
                <w:sz w:val="20"/>
                <w:szCs w:val="20"/>
                <w:highlight w:val="white"/>
              </w:rPr>
              <w:t xml:space="preserve"> Si durante la ejecución del contrato y para evitar la paralización o la afectación grave del servicio público </w:t>
            </w:r>
            <w:r w:rsidRPr="000563E9">
              <w:rPr>
                <w:rFonts w:asciiTheme="majorHAnsi" w:eastAsia="Times New Roman" w:hAnsiTheme="majorHAnsi" w:cstheme="majorHAnsi"/>
                <w:b/>
                <w:i/>
                <w:sz w:val="20"/>
                <w:szCs w:val="20"/>
                <w:highlight w:val="white"/>
                <w:u w:val="single"/>
              </w:rPr>
              <w:t>que implique al menos, la afectación del 20% de la ejecución de la obra o de la prestación del servicio, y</w:t>
            </w:r>
            <w:r w:rsidRPr="000563E9">
              <w:rPr>
                <w:rFonts w:asciiTheme="majorHAnsi" w:eastAsia="Times New Roman" w:hAnsiTheme="majorHAnsi" w:cstheme="majorHAnsi"/>
                <w:sz w:val="20"/>
                <w:szCs w:val="20"/>
                <w:highlight w:val="white"/>
              </w:rPr>
              <w:t xml:space="preserve"> que se deba satisfacer con él, fuere necesario introducir variaciones en el contrato y previamente las partes no llegan al acuerdo respectivo, la entidad en acto administrativo debidamente motivado, lo modificará mediante la supresión o adición de obras, trabajos, suministros o servicios.</w:t>
            </w:r>
          </w:p>
          <w:p w14:paraId="7D418977" w14:textId="77777777" w:rsidR="001633F1" w:rsidRPr="000563E9" w:rsidRDefault="001633F1" w:rsidP="001633F1">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sz w:val="20"/>
                <w:szCs w:val="20"/>
                <w:highlight w:val="white"/>
              </w:rPr>
              <w:t xml:space="preserve">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w:t>
            </w:r>
            <w:proofErr w:type="gramStart"/>
            <w:r w:rsidRPr="000563E9">
              <w:rPr>
                <w:rFonts w:asciiTheme="majorHAnsi" w:eastAsia="Times New Roman" w:hAnsiTheme="majorHAnsi" w:cstheme="majorHAnsi"/>
                <w:sz w:val="20"/>
                <w:szCs w:val="20"/>
                <w:highlight w:val="white"/>
              </w:rPr>
              <w:t>del mismo</w:t>
            </w:r>
            <w:proofErr w:type="gramEnd"/>
            <w:r w:rsidRPr="000563E9">
              <w:rPr>
                <w:rFonts w:asciiTheme="majorHAnsi" w:eastAsia="Times New Roman" w:hAnsiTheme="majorHAnsi" w:cstheme="majorHAnsi"/>
                <w:sz w:val="20"/>
                <w:szCs w:val="20"/>
                <w:highlight w:val="white"/>
              </w:rPr>
              <w:t xml:space="preserve">. </w:t>
            </w:r>
            <w:r w:rsidRPr="000563E9">
              <w:rPr>
                <w:rFonts w:asciiTheme="majorHAnsi" w:eastAsia="Times New Roman" w:hAnsiTheme="majorHAnsi" w:cstheme="majorHAnsi"/>
                <w:b/>
                <w:i/>
                <w:sz w:val="20"/>
                <w:szCs w:val="20"/>
                <w:highlight w:val="white"/>
                <w:u w:val="single"/>
              </w:rPr>
              <w:t>Si la modificación es derivada de una postulación fraudulenta del contratista, se declarará la caducidad y con ello las sanciones correspondientes.”</w:t>
            </w:r>
          </w:p>
          <w:p w14:paraId="688E708F" w14:textId="77777777" w:rsidR="001E2B2C" w:rsidRPr="000563E9" w:rsidRDefault="001E2B2C" w:rsidP="00FE4C6B">
            <w:pPr>
              <w:jc w:val="both"/>
              <w:rPr>
                <w:rFonts w:asciiTheme="majorHAnsi" w:hAnsiTheme="majorHAnsi" w:cstheme="majorHAnsi"/>
                <w:sz w:val="20"/>
                <w:szCs w:val="20"/>
              </w:rPr>
            </w:pPr>
          </w:p>
        </w:tc>
        <w:tc>
          <w:tcPr>
            <w:tcW w:w="6055" w:type="dxa"/>
          </w:tcPr>
          <w:p w14:paraId="0233B2D2" w14:textId="142E9DBB" w:rsidR="005C7805" w:rsidRPr="000563E9" w:rsidRDefault="005C7805" w:rsidP="005C7805">
            <w:pPr>
              <w:jc w:val="both"/>
              <w:rPr>
                <w:rFonts w:asciiTheme="majorHAnsi" w:hAnsiTheme="majorHAnsi" w:cstheme="majorHAnsi"/>
                <w:sz w:val="20"/>
                <w:szCs w:val="20"/>
              </w:rPr>
            </w:pPr>
            <w:r w:rsidRPr="005C7805">
              <w:rPr>
                <w:rFonts w:asciiTheme="majorHAnsi" w:hAnsiTheme="majorHAnsi" w:cstheme="majorHAnsi"/>
                <w:sz w:val="20"/>
                <w:szCs w:val="20"/>
              </w:rPr>
              <w:t>La fijación de un umbral genérico del 20% desconoce las particularidades propias de cada proceso de contratación</w:t>
            </w:r>
            <w:r w:rsidR="002A01B2">
              <w:rPr>
                <w:rFonts w:asciiTheme="majorHAnsi" w:hAnsiTheme="majorHAnsi" w:cstheme="majorHAnsi"/>
                <w:sz w:val="20"/>
                <w:szCs w:val="20"/>
              </w:rPr>
              <w:t>.</w:t>
            </w:r>
          </w:p>
          <w:p w14:paraId="2A55C72E" w14:textId="77777777" w:rsidR="005C7805" w:rsidRPr="005C7805" w:rsidRDefault="005C7805" w:rsidP="005C7805">
            <w:pPr>
              <w:jc w:val="both"/>
              <w:rPr>
                <w:rFonts w:asciiTheme="majorHAnsi" w:hAnsiTheme="majorHAnsi" w:cstheme="majorHAnsi"/>
                <w:sz w:val="20"/>
                <w:szCs w:val="20"/>
              </w:rPr>
            </w:pPr>
          </w:p>
          <w:p w14:paraId="145FCEB9" w14:textId="5B65BC6A" w:rsidR="005C7805" w:rsidRPr="000563E9" w:rsidRDefault="005C7805" w:rsidP="005C7805">
            <w:pPr>
              <w:jc w:val="both"/>
              <w:rPr>
                <w:rFonts w:asciiTheme="majorHAnsi" w:hAnsiTheme="majorHAnsi" w:cstheme="majorHAnsi"/>
                <w:sz w:val="20"/>
                <w:szCs w:val="20"/>
              </w:rPr>
            </w:pPr>
            <w:r w:rsidRPr="005C7805">
              <w:rPr>
                <w:rFonts w:asciiTheme="majorHAnsi" w:hAnsiTheme="majorHAnsi" w:cstheme="majorHAnsi"/>
                <w:sz w:val="20"/>
                <w:szCs w:val="20"/>
              </w:rPr>
              <w:t>Adicionalmente, en el proyecto se confunden las figuras de la modificación unilateral y la caducidad, las cuales tienen naturalezas, finalidades y efectos jurídicos distintos en el marco de la Ley 80 de 1993.</w:t>
            </w:r>
          </w:p>
          <w:p w14:paraId="660BE2D4" w14:textId="77777777" w:rsidR="005C7805" w:rsidRPr="005C7805" w:rsidRDefault="005C7805" w:rsidP="005C7805">
            <w:pPr>
              <w:jc w:val="both"/>
              <w:rPr>
                <w:rFonts w:asciiTheme="majorHAnsi" w:hAnsiTheme="majorHAnsi" w:cstheme="majorHAnsi"/>
                <w:sz w:val="20"/>
                <w:szCs w:val="20"/>
              </w:rPr>
            </w:pPr>
          </w:p>
          <w:p w14:paraId="3A8A5E09" w14:textId="5F012E09" w:rsidR="005C7805" w:rsidRPr="005C7805" w:rsidRDefault="005C7805" w:rsidP="005C7805">
            <w:pPr>
              <w:jc w:val="both"/>
              <w:rPr>
                <w:rFonts w:asciiTheme="majorHAnsi" w:hAnsiTheme="majorHAnsi" w:cstheme="majorHAnsi"/>
                <w:sz w:val="20"/>
                <w:szCs w:val="20"/>
              </w:rPr>
            </w:pPr>
            <w:r w:rsidRPr="005C7805">
              <w:rPr>
                <w:rFonts w:asciiTheme="majorHAnsi" w:hAnsiTheme="majorHAnsi" w:cstheme="majorHAnsi"/>
                <w:sz w:val="20"/>
                <w:szCs w:val="20"/>
              </w:rPr>
              <w:t>De igual forma, se introduce el concepto jurídico indeterminado de “postulación fraudulenta”, cuya configuración podría requerir una valoración previa por parte de un juez</w:t>
            </w:r>
            <w:r w:rsidR="00B84553" w:rsidRPr="000563E9">
              <w:rPr>
                <w:rFonts w:asciiTheme="majorHAnsi" w:hAnsiTheme="majorHAnsi" w:cstheme="majorHAnsi"/>
                <w:sz w:val="20"/>
                <w:szCs w:val="20"/>
              </w:rPr>
              <w:t xml:space="preserve"> quien determina </w:t>
            </w:r>
            <w:r w:rsidR="0086075F" w:rsidRPr="000563E9">
              <w:rPr>
                <w:rFonts w:asciiTheme="majorHAnsi" w:hAnsiTheme="majorHAnsi" w:cstheme="majorHAnsi"/>
                <w:sz w:val="20"/>
                <w:szCs w:val="20"/>
              </w:rPr>
              <w:t>la responsabilidad penal</w:t>
            </w:r>
            <w:r w:rsidR="002A01B2">
              <w:rPr>
                <w:rFonts w:asciiTheme="majorHAnsi" w:hAnsiTheme="majorHAnsi" w:cstheme="majorHAnsi"/>
                <w:sz w:val="20"/>
                <w:szCs w:val="20"/>
              </w:rPr>
              <w:t xml:space="preserve"> potencial</w:t>
            </w:r>
            <w:r w:rsidR="0086075F" w:rsidRPr="000563E9">
              <w:rPr>
                <w:rFonts w:asciiTheme="majorHAnsi" w:hAnsiTheme="majorHAnsi" w:cstheme="majorHAnsi"/>
                <w:sz w:val="20"/>
                <w:szCs w:val="20"/>
              </w:rPr>
              <w:t xml:space="preserve">, desconociendo así los alcances de la actuación administrativa </w:t>
            </w:r>
            <w:r w:rsidRPr="005C7805">
              <w:rPr>
                <w:rFonts w:asciiTheme="majorHAnsi" w:hAnsiTheme="majorHAnsi" w:cstheme="majorHAnsi"/>
                <w:sz w:val="20"/>
                <w:szCs w:val="20"/>
              </w:rPr>
              <w:t>en la que se adopta una eventual modificación unilateral</w:t>
            </w:r>
            <w:r w:rsidR="00B84553" w:rsidRPr="000563E9">
              <w:rPr>
                <w:rFonts w:asciiTheme="majorHAnsi" w:hAnsiTheme="majorHAnsi" w:cstheme="majorHAnsi"/>
                <w:sz w:val="20"/>
                <w:szCs w:val="20"/>
              </w:rPr>
              <w:t xml:space="preserve">. </w:t>
            </w:r>
          </w:p>
          <w:p w14:paraId="3B8100C8" w14:textId="12AC9743" w:rsidR="00EC70E4" w:rsidRPr="000563E9" w:rsidRDefault="00EC70E4" w:rsidP="00FE4C6B">
            <w:pPr>
              <w:jc w:val="both"/>
              <w:rPr>
                <w:rFonts w:asciiTheme="majorHAnsi" w:hAnsiTheme="majorHAnsi" w:cstheme="majorHAnsi"/>
                <w:sz w:val="20"/>
                <w:szCs w:val="20"/>
              </w:rPr>
            </w:pPr>
          </w:p>
        </w:tc>
      </w:tr>
      <w:tr w:rsidR="0086075F" w:rsidRPr="000563E9" w14:paraId="7AF874AA" w14:textId="77777777" w:rsidTr="00BA78F5">
        <w:tc>
          <w:tcPr>
            <w:tcW w:w="3539" w:type="dxa"/>
          </w:tcPr>
          <w:p w14:paraId="20EFEBEA"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b/>
                <w:bCs/>
                <w:sz w:val="20"/>
                <w:szCs w:val="20"/>
              </w:rPr>
              <w:t>ARTICULO 17. DE LA TERMINACION UNILATERAL</w:t>
            </w:r>
            <w:r w:rsidRPr="0072693D">
              <w:rPr>
                <w:rFonts w:asciiTheme="majorHAnsi" w:hAnsiTheme="majorHAnsi" w:cstheme="majorHAnsi"/>
                <w:sz w:val="20"/>
                <w:szCs w:val="20"/>
              </w:rPr>
              <w:t>. La entidad en acto administrativo debidamente motivado dispondrá la terminación anticipada del contrato en los siguientes eventos: </w:t>
            </w:r>
          </w:p>
          <w:p w14:paraId="2F3A2522"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64AF5ADF"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1o. Cuando las exigencias del servicio público lo requieran o la situación de orden público lo imponga. </w:t>
            </w:r>
          </w:p>
          <w:p w14:paraId="363E0ED4"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05CBB17D"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2o. Por muerte o incapacidad física permanente del contratista, si es persona natural, o por disolución de la persona jurídica del contratista. </w:t>
            </w:r>
          </w:p>
          <w:p w14:paraId="7264AD0C"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1B4F9EBF"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3o. Por interdicción judicial o declaración de quiebra del contratista. </w:t>
            </w:r>
          </w:p>
          <w:p w14:paraId="5889C2C0"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380136E3"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4o. Por cesación de pagos, concurso de acreedores o embargos judiciales del contratista que afecten de manera grave el cumplimiento del contrato. </w:t>
            </w:r>
          </w:p>
          <w:p w14:paraId="21A374F7"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16CADAAF"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Sin embargo, en los casos a que se refieren los numerales 2o. y 3o. de este artículo podrá continuarse la ejecución con el garante de la obligación. </w:t>
            </w:r>
          </w:p>
          <w:p w14:paraId="7F3432D4"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  </w:t>
            </w:r>
          </w:p>
          <w:p w14:paraId="108EE541" w14:textId="77777777" w:rsidR="0072693D" w:rsidRPr="0072693D" w:rsidRDefault="0072693D" w:rsidP="0072693D">
            <w:pPr>
              <w:jc w:val="both"/>
              <w:rPr>
                <w:rFonts w:asciiTheme="majorHAnsi" w:hAnsiTheme="majorHAnsi" w:cstheme="majorHAnsi"/>
                <w:sz w:val="20"/>
                <w:szCs w:val="20"/>
              </w:rPr>
            </w:pPr>
            <w:r w:rsidRPr="0072693D">
              <w:rPr>
                <w:rFonts w:asciiTheme="majorHAnsi" w:hAnsiTheme="majorHAnsi" w:cstheme="majorHAnsi"/>
                <w:sz w:val="20"/>
                <w:szCs w:val="20"/>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 </w:t>
            </w:r>
          </w:p>
          <w:p w14:paraId="01ED30CC" w14:textId="77777777" w:rsidR="0086075F" w:rsidRPr="0072693D" w:rsidRDefault="0086075F" w:rsidP="00806C52">
            <w:pPr>
              <w:jc w:val="both"/>
              <w:rPr>
                <w:rFonts w:asciiTheme="majorHAnsi" w:hAnsiTheme="majorHAnsi" w:cstheme="majorHAnsi"/>
                <w:sz w:val="20"/>
                <w:szCs w:val="20"/>
              </w:rPr>
            </w:pPr>
          </w:p>
        </w:tc>
        <w:tc>
          <w:tcPr>
            <w:tcW w:w="3402" w:type="dxa"/>
          </w:tcPr>
          <w:p w14:paraId="45D058EF"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 xml:space="preserve">ARTÍCULO 13. </w:t>
            </w:r>
            <w:r w:rsidRPr="000563E9">
              <w:rPr>
                <w:rFonts w:asciiTheme="majorHAnsi" w:eastAsia="Times New Roman" w:hAnsiTheme="majorHAnsi" w:cstheme="majorHAnsi"/>
                <w:sz w:val="20"/>
                <w:szCs w:val="20"/>
                <w:highlight w:val="white"/>
              </w:rPr>
              <w:t>Adiciónese y modifíquese el artículo 17 de la ley 80 de 1993, el cual quedaría así:</w:t>
            </w:r>
          </w:p>
          <w:p w14:paraId="64F0B1DF" w14:textId="77777777" w:rsidR="000563E9" w:rsidRPr="000563E9" w:rsidRDefault="000563E9" w:rsidP="000563E9">
            <w:pPr>
              <w:jc w:val="both"/>
              <w:rPr>
                <w:rFonts w:asciiTheme="majorHAnsi" w:eastAsia="Times New Roman" w:hAnsiTheme="majorHAnsi" w:cstheme="majorHAnsi"/>
                <w:sz w:val="20"/>
                <w:szCs w:val="20"/>
                <w:highlight w:val="white"/>
              </w:rPr>
            </w:pPr>
          </w:p>
          <w:p w14:paraId="00E4AB2E"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“ARTÍCULO 17.- DE LA TERMINACIÓN UNILATERAL.</w:t>
            </w:r>
            <w:r w:rsidRPr="000563E9">
              <w:rPr>
                <w:rFonts w:asciiTheme="majorHAnsi" w:eastAsia="Times New Roman" w:hAnsiTheme="majorHAnsi" w:cstheme="majorHAnsi"/>
                <w:sz w:val="20"/>
                <w:szCs w:val="20"/>
                <w:highlight w:val="white"/>
              </w:rPr>
              <w:t xml:space="preserve"> La entidad en acto administrativo debidamente motivado dispondrá la terminación anticipada del contrato en los siguientes casos:</w:t>
            </w:r>
          </w:p>
          <w:p w14:paraId="5F87BE27" w14:textId="77777777" w:rsidR="000563E9" w:rsidRPr="000563E9" w:rsidRDefault="000563E9" w:rsidP="000563E9">
            <w:pPr>
              <w:jc w:val="both"/>
              <w:rPr>
                <w:rFonts w:asciiTheme="majorHAnsi" w:eastAsia="Times New Roman" w:hAnsiTheme="majorHAnsi" w:cstheme="majorHAnsi"/>
                <w:sz w:val="20"/>
                <w:szCs w:val="20"/>
                <w:highlight w:val="white"/>
              </w:rPr>
            </w:pPr>
          </w:p>
          <w:p w14:paraId="7596D215"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1.</w:t>
            </w:r>
            <w:r w:rsidRPr="000563E9">
              <w:rPr>
                <w:rFonts w:asciiTheme="majorHAnsi" w:eastAsia="Times New Roman" w:hAnsiTheme="majorHAnsi" w:cstheme="majorHAnsi"/>
                <w:sz w:val="20"/>
                <w:szCs w:val="20"/>
                <w:highlight w:val="white"/>
              </w:rPr>
              <w:t xml:space="preserve"> Cuando las exigencias del servicio público lo requieran o la situación de orden público lo imponga.</w:t>
            </w:r>
          </w:p>
          <w:p w14:paraId="360654DC" w14:textId="77777777" w:rsidR="000563E9" w:rsidRPr="000563E9" w:rsidRDefault="000563E9" w:rsidP="000563E9">
            <w:pPr>
              <w:jc w:val="both"/>
              <w:rPr>
                <w:rFonts w:asciiTheme="majorHAnsi" w:eastAsia="Times New Roman" w:hAnsiTheme="majorHAnsi" w:cstheme="majorHAnsi"/>
                <w:sz w:val="20"/>
                <w:szCs w:val="20"/>
                <w:highlight w:val="white"/>
              </w:rPr>
            </w:pPr>
          </w:p>
          <w:p w14:paraId="2BF23EAF"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2.</w:t>
            </w:r>
            <w:r w:rsidRPr="000563E9">
              <w:rPr>
                <w:rFonts w:asciiTheme="majorHAnsi" w:eastAsia="Times New Roman" w:hAnsiTheme="majorHAnsi" w:cstheme="majorHAnsi"/>
                <w:sz w:val="20"/>
                <w:szCs w:val="20"/>
                <w:highlight w:val="white"/>
              </w:rPr>
              <w:t xml:space="preserve"> Por muerte o incapacidad física permanente del contratista, si es persona natural, o por disolución</w:t>
            </w:r>
            <w:r w:rsidRPr="000563E9">
              <w:rPr>
                <w:rFonts w:asciiTheme="majorHAnsi" w:eastAsia="Times New Roman" w:hAnsiTheme="majorHAnsi" w:cstheme="majorHAnsi"/>
                <w:b/>
                <w:i/>
                <w:sz w:val="20"/>
                <w:szCs w:val="20"/>
                <w:highlight w:val="white"/>
                <w:u w:val="single"/>
              </w:rPr>
              <w:t xml:space="preserve"> y/o liquidación</w:t>
            </w:r>
            <w:r w:rsidRPr="000563E9">
              <w:rPr>
                <w:rFonts w:asciiTheme="majorHAnsi" w:eastAsia="Times New Roman" w:hAnsiTheme="majorHAnsi" w:cstheme="majorHAnsi"/>
                <w:b/>
                <w:sz w:val="20"/>
                <w:szCs w:val="20"/>
                <w:highlight w:val="white"/>
              </w:rPr>
              <w:t xml:space="preserve"> </w:t>
            </w:r>
            <w:r w:rsidRPr="000563E9">
              <w:rPr>
                <w:rFonts w:asciiTheme="majorHAnsi" w:eastAsia="Times New Roman" w:hAnsiTheme="majorHAnsi" w:cstheme="majorHAnsi"/>
                <w:sz w:val="20"/>
                <w:szCs w:val="20"/>
                <w:highlight w:val="white"/>
              </w:rPr>
              <w:t>de la persona jurídica del contratista.</w:t>
            </w:r>
          </w:p>
          <w:p w14:paraId="075B9359" w14:textId="77777777" w:rsidR="000563E9" w:rsidRPr="000563E9" w:rsidRDefault="000563E9" w:rsidP="000563E9">
            <w:pPr>
              <w:jc w:val="both"/>
              <w:rPr>
                <w:rFonts w:asciiTheme="majorHAnsi" w:eastAsia="Times New Roman" w:hAnsiTheme="majorHAnsi" w:cstheme="majorHAnsi"/>
                <w:sz w:val="20"/>
                <w:szCs w:val="20"/>
                <w:highlight w:val="white"/>
              </w:rPr>
            </w:pPr>
          </w:p>
          <w:p w14:paraId="5F3073A7"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b/>
                <w:sz w:val="20"/>
                <w:szCs w:val="20"/>
                <w:highlight w:val="white"/>
              </w:rPr>
              <w:t>3.</w:t>
            </w:r>
            <w:r w:rsidRPr="000563E9">
              <w:rPr>
                <w:rFonts w:asciiTheme="majorHAnsi" w:eastAsia="Times New Roman" w:hAnsiTheme="majorHAnsi" w:cstheme="majorHAnsi"/>
                <w:sz w:val="20"/>
                <w:szCs w:val="20"/>
                <w:highlight w:val="white"/>
              </w:rPr>
              <w:t xml:space="preserve"> Por declaración de insolvencia económica del contratista.</w:t>
            </w:r>
          </w:p>
          <w:p w14:paraId="60D1C1F4" w14:textId="77777777" w:rsidR="000563E9" w:rsidRPr="000563E9" w:rsidRDefault="000563E9" w:rsidP="000563E9">
            <w:pPr>
              <w:jc w:val="both"/>
              <w:rPr>
                <w:rFonts w:asciiTheme="majorHAnsi" w:eastAsia="Times New Roman" w:hAnsiTheme="majorHAnsi" w:cstheme="majorHAnsi"/>
                <w:sz w:val="20"/>
                <w:szCs w:val="20"/>
                <w:highlight w:val="white"/>
              </w:rPr>
            </w:pPr>
          </w:p>
          <w:p w14:paraId="6A0AAA3E" w14:textId="77777777" w:rsidR="000563E9" w:rsidRPr="000563E9" w:rsidRDefault="000563E9" w:rsidP="000563E9">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sz w:val="20"/>
                <w:szCs w:val="20"/>
                <w:highlight w:val="white"/>
              </w:rPr>
              <w:t>4.</w:t>
            </w:r>
            <w:r w:rsidRPr="000563E9">
              <w:rPr>
                <w:rFonts w:asciiTheme="majorHAnsi" w:eastAsia="Times New Roman" w:hAnsiTheme="majorHAnsi" w:cstheme="majorHAnsi"/>
                <w:sz w:val="20"/>
                <w:szCs w:val="20"/>
                <w:highlight w:val="white"/>
              </w:rPr>
              <w:t xml:space="preserve"> Por cesación de pagos, concurso de acreedores o embargos judiciales del contratista que afecten de manera grave el cumplimiento del contrato </w:t>
            </w:r>
            <w:r w:rsidRPr="000563E9">
              <w:rPr>
                <w:rFonts w:asciiTheme="majorHAnsi" w:eastAsia="Times New Roman" w:hAnsiTheme="majorHAnsi" w:cstheme="majorHAnsi"/>
                <w:b/>
                <w:i/>
                <w:sz w:val="20"/>
                <w:szCs w:val="20"/>
                <w:highlight w:val="white"/>
                <w:u w:val="single"/>
              </w:rPr>
              <w:t>en cualquiera de sus etapas</w:t>
            </w:r>
            <w:r w:rsidRPr="000563E9">
              <w:rPr>
                <w:rFonts w:asciiTheme="majorHAnsi" w:eastAsia="Times New Roman" w:hAnsiTheme="majorHAnsi" w:cstheme="majorHAnsi"/>
                <w:sz w:val="20"/>
                <w:szCs w:val="20"/>
                <w:highlight w:val="white"/>
              </w:rPr>
              <w:t xml:space="preserve">. </w:t>
            </w:r>
          </w:p>
          <w:p w14:paraId="36320F59" w14:textId="77777777" w:rsidR="000563E9" w:rsidRPr="000563E9" w:rsidRDefault="000563E9" w:rsidP="000563E9">
            <w:pPr>
              <w:jc w:val="both"/>
              <w:rPr>
                <w:rFonts w:asciiTheme="majorHAnsi" w:eastAsia="Times New Roman" w:hAnsiTheme="majorHAnsi" w:cstheme="majorHAnsi"/>
                <w:b/>
                <w:i/>
                <w:sz w:val="20"/>
                <w:szCs w:val="20"/>
                <w:highlight w:val="white"/>
                <w:u w:val="single"/>
              </w:rPr>
            </w:pPr>
          </w:p>
          <w:p w14:paraId="3983A8B7" w14:textId="18EFD918" w:rsidR="000563E9" w:rsidRPr="000563E9" w:rsidRDefault="000563E9" w:rsidP="000563E9">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5. Por</w:t>
            </w:r>
            <w:r w:rsidRPr="000563E9">
              <w:rPr>
                <w:rFonts w:asciiTheme="majorHAnsi" w:eastAsia="Times New Roman" w:hAnsiTheme="majorHAnsi" w:cstheme="majorHAnsi"/>
                <w:b/>
                <w:i/>
                <w:sz w:val="20"/>
                <w:szCs w:val="20"/>
                <w:u w:val="single"/>
              </w:rPr>
              <w:t xml:space="preserve"> Informe</w:t>
            </w:r>
            <w:r w:rsidRPr="000563E9">
              <w:rPr>
                <w:rFonts w:asciiTheme="majorHAnsi" w:eastAsia="Times New Roman" w:hAnsiTheme="majorHAnsi" w:cstheme="majorHAnsi"/>
                <w:b/>
                <w:i/>
                <w:sz w:val="20"/>
                <w:szCs w:val="20"/>
                <w:highlight w:val="white"/>
                <w:u w:val="single"/>
              </w:rPr>
              <w:t xml:space="preserve"> de </w:t>
            </w:r>
            <w:r w:rsidR="007A3669" w:rsidRPr="000563E9">
              <w:rPr>
                <w:rFonts w:asciiTheme="majorHAnsi" w:eastAsia="Times New Roman" w:hAnsiTheme="majorHAnsi" w:cstheme="majorHAnsi"/>
                <w:b/>
                <w:i/>
                <w:sz w:val="20"/>
                <w:szCs w:val="20"/>
                <w:highlight w:val="white"/>
                <w:u w:val="single"/>
              </w:rPr>
              <w:t>Interventoría</w:t>
            </w:r>
            <w:r w:rsidRPr="000563E9">
              <w:rPr>
                <w:rFonts w:asciiTheme="majorHAnsi" w:eastAsia="Times New Roman" w:hAnsiTheme="majorHAnsi" w:cstheme="majorHAnsi"/>
                <w:b/>
                <w:i/>
                <w:sz w:val="20"/>
                <w:szCs w:val="20"/>
                <w:highlight w:val="white"/>
                <w:u w:val="single"/>
              </w:rPr>
              <w:t xml:space="preserve"> o informe técnico de la entidad contratante que resuelve el incumplimiento contractual en un porcentaje no superior o igual al 20% en la ejecución de la obra o de la prestación del servicio </w:t>
            </w:r>
            <w:r w:rsidR="00744381" w:rsidRPr="000563E9">
              <w:rPr>
                <w:rFonts w:asciiTheme="majorHAnsi" w:eastAsia="Times New Roman" w:hAnsiTheme="majorHAnsi" w:cstheme="majorHAnsi"/>
                <w:b/>
                <w:i/>
                <w:sz w:val="20"/>
                <w:szCs w:val="20"/>
                <w:highlight w:val="white"/>
                <w:u w:val="single"/>
              </w:rPr>
              <w:t>público</w:t>
            </w:r>
            <w:r w:rsidRPr="000563E9">
              <w:rPr>
                <w:rFonts w:asciiTheme="majorHAnsi" w:eastAsia="Times New Roman" w:hAnsiTheme="majorHAnsi" w:cstheme="majorHAnsi"/>
                <w:b/>
                <w:i/>
                <w:sz w:val="20"/>
                <w:szCs w:val="20"/>
                <w:highlight w:val="white"/>
                <w:u w:val="single"/>
              </w:rPr>
              <w:t xml:space="preserve"> con respecto al periodo de tiempo del contrato. </w:t>
            </w:r>
          </w:p>
          <w:p w14:paraId="0AEC5717" w14:textId="77777777" w:rsidR="000563E9" w:rsidRPr="000563E9" w:rsidRDefault="000563E9" w:rsidP="000563E9">
            <w:pPr>
              <w:jc w:val="both"/>
              <w:rPr>
                <w:rFonts w:asciiTheme="majorHAnsi" w:eastAsia="Times New Roman" w:hAnsiTheme="majorHAnsi" w:cstheme="majorHAnsi"/>
                <w:b/>
                <w:i/>
                <w:sz w:val="20"/>
                <w:szCs w:val="20"/>
                <w:highlight w:val="white"/>
                <w:u w:val="single"/>
              </w:rPr>
            </w:pPr>
            <w:r w:rsidRPr="000563E9">
              <w:rPr>
                <w:rFonts w:asciiTheme="majorHAnsi" w:eastAsia="Times New Roman" w:hAnsiTheme="majorHAnsi" w:cstheme="majorHAnsi"/>
                <w:b/>
                <w:i/>
                <w:sz w:val="20"/>
                <w:szCs w:val="20"/>
                <w:highlight w:val="white"/>
                <w:u w:val="single"/>
              </w:rPr>
              <w:t xml:space="preserve"> </w:t>
            </w:r>
          </w:p>
          <w:p w14:paraId="27D5C255"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Sin embargo, en los casos a que se refieren los numerales 2o. y 3o. de este artículo podrá continuar la ejecución con el garante de la obligación.</w:t>
            </w:r>
          </w:p>
          <w:p w14:paraId="4E8CFA77" w14:textId="77777777" w:rsidR="000563E9" w:rsidRPr="000563E9" w:rsidRDefault="000563E9" w:rsidP="000563E9">
            <w:pPr>
              <w:jc w:val="both"/>
              <w:rPr>
                <w:rFonts w:asciiTheme="majorHAnsi" w:eastAsia="Times New Roman" w:hAnsiTheme="majorHAnsi" w:cstheme="majorHAnsi"/>
                <w:sz w:val="20"/>
                <w:szCs w:val="20"/>
                <w:highlight w:val="white"/>
              </w:rPr>
            </w:pPr>
          </w:p>
          <w:p w14:paraId="11717AEE" w14:textId="77777777" w:rsidR="000563E9" w:rsidRPr="000563E9" w:rsidRDefault="000563E9" w:rsidP="000563E9">
            <w:pPr>
              <w:jc w:val="both"/>
              <w:rPr>
                <w:rFonts w:asciiTheme="majorHAnsi" w:eastAsia="Times New Roman" w:hAnsiTheme="majorHAnsi" w:cstheme="majorHAnsi"/>
                <w:sz w:val="20"/>
                <w:szCs w:val="20"/>
                <w:highlight w:val="white"/>
              </w:rPr>
            </w:pPr>
            <w:r w:rsidRPr="000563E9">
              <w:rPr>
                <w:rFonts w:asciiTheme="majorHAnsi" w:eastAsia="Times New Roman" w:hAnsiTheme="majorHAnsi" w:cstheme="majorHAnsi"/>
                <w:sz w:val="20"/>
                <w:szCs w:val="20"/>
                <w:highlight w:val="white"/>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w:t>
            </w:r>
          </w:p>
          <w:p w14:paraId="0375AD59" w14:textId="77777777" w:rsidR="0086075F" w:rsidRPr="000563E9" w:rsidRDefault="0086075F" w:rsidP="001633F1">
            <w:pPr>
              <w:jc w:val="both"/>
              <w:rPr>
                <w:rFonts w:asciiTheme="majorHAnsi" w:eastAsia="Times New Roman" w:hAnsiTheme="majorHAnsi" w:cstheme="majorHAnsi"/>
                <w:b/>
                <w:sz w:val="20"/>
                <w:szCs w:val="20"/>
                <w:highlight w:val="white"/>
              </w:rPr>
            </w:pPr>
          </w:p>
        </w:tc>
        <w:tc>
          <w:tcPr>
            <w:tcW w:w="6055" w:type="dxa"/>
          </w:tcPr>
          <w:p w14:paraId="15CD1F4D" w14:textId="49512AC5" w:rsidR="0086075F" w:rsidRDefault="00AC33E6" w:rsidP="005C7805">
            <w:pPr>
              <w:jc w:val="both"/>
              <w:rPr>
                <w:rFonts w:asciiTheme="majorHAnsi" w:hAnsiTheme="majorHAnsi" w:cstheme="majorHAnsi"/>
                <w:sz w:val="20"/>
                <w:szCs w:val="20"/>
              </w:rPr>
            </w:pPr>
            <w:r w:rsidRPr="000563E9">
              <w:rPr>
                <w:rFonts w:asciiTheme="majorHAnsi" w:hAnsiTheme="majorHAnsi" w:cstheme="majorHAnsi"/>
                <w:sz w:val="20"/>
                <w:szCs w:val="20"/>
              </w:rPr>
              <w:t xml:space="preserve">Se debe tener en cuenta que en el proyecto </w:t>
            </w:r>
            <w:r w:rsidR="002A01B2" w:rsidRPr="000563E9">
              <w:rPr>
                <w:rFonts w:asciiTheme="majorHAnsi" w:hAnsiTheme="majorHAnsi" w:cstheme="majorHAnsi"/>
                <w:sz w:val="20"/>
                <w:szCs w:val="20"/>
              </w:rPr>
              <w:t xml:space="preserve">no </w:t>
            </w:r>
            <w:r w:rsidRPr="000563E9">
              <w:rPr>
                <w:rFonts w:asciiTheme="majorHAnsi" w:hAnsiTheme="majorHAnsi" w:cstheme="majorHAnsi"/>
                <w:sz w:val="20"/>
                <w:szCs w:val="20"/>
              </w:rPr>
              <w:t>se encuentran resaltados todos los cambios incorporados con negrillas y subrayas</w:t>
            </w:r>
            <w:r>
              <w:rPr>
                <w:rFonts w:asciiTheme="majorHAnsi" w:hAnsiTheme="majorHAnsi" w:cstheme="majorHAnsi"/>
                <w:sz w:val="20"/>
                <w:szCs w:val="20"/>
              </w:rPr>
              <w:t xml:space="preserve">, </w:t>
            </w:r>
            <w:r w:rsidR="00B14C5E">
              <w:rPr>
                <w:rFonts w:asciiTheme="majorHAnsi" w:hAnsiTheme="majorHAnsi" w:cstheme="majorHAnsi"/>
                <w:sz w:val="20"/>
                <w:szCs w:val="20"/>
              </w:rPr>
              <w:t>por ejemplo, en el numeral 3 eliminaron injustificadamente la interdicción judicial.</w:t>
            </w:r>
          </w:p>
          <w:p w14:paraId="3BA5650B" w14:textId="77777777" w:rsidR="007A3669" w:rsidRDefault="007A3669" w:rsidP="005C7805">
            <w:pPr>
              <w:jc w:val="both"/>
              <w:rPr>
                <w:rFonts w:asciiTheme="majorHAnsi" w:hAnsiTheme="majorHAnsi" w:cstheme="majorHAnsi"/>
                <w:sz w:val="20"/>
                <w:szCs w:val="20"/>
              </w:rPr>
            </w:pPr>
          </w:p>
          <w:p w14:paraId="6B0D5E7A" w14:textId="15C16B2E" w:rsidR="007A3669" w:rsidRDefault="007A3669" w:rsidP="005C7805">
            <w:pPr>
              <w:jc w:val="both"/>
              <w:rPr>
                <w:rFonts w:asciiTheme="majorHAnsi" w:hAnsiTheme="majorHAnsi" w:cstheme="majorHAnsi"/>
                <w:sz w:val="20"/>
                <w:szCs w:val="20"/>
              </w:rPr>
            </w:pPr>
            <w:r>
              <w:rPr>
                <w:rFonts w:asciiTheme="majorHAnsi" w:hAnsiTheme="majorHAnsi" w:cstheme="majorHAnsi"/>
                <w:sz w:val="20"/>
                <w:szCs w:val="20"/>
              </w:rPr>
              <w:t xml:space="preserve">Asimismo, </w:t>
            </w:r>
            <w:r w:rsidR="00161617">
              <w:rPr>
                <w:rFonts w:asciiTheme="majorHAnsi" w:hAnsiTheme="majorHAnsi" w:cstheme="majorHAnsi"/>
                <w:sz w:val="20"/>
                <w:szCs w:val="20"/>
              </w:rPr>
              <w:t xml:space="preserve">la propuesta confunde la finalidad de los informes de seguimiento con los </w:t>
            </w:r>
            <w:r w:rsidR="002A01B2">
              <w:rPr>
                <w:rFonts w:asciiTheme="majorHAnsi" w:hAnsiTheme="majorHAnsi" w:cstheme="majorHAnsi"/>
                <w:sz w:val="20"/>
                <w:szCs w:val="20"/>
              </w:rPr>
              <w:t xml:space="preserve">resultados </w:t>
            </w:r>
            <w:r w:rsidR="00161617">
              <w:rPr>
                <w:rFonts w:asciiTheme="majorHAnsi" w:hAnsiTheme="majorHAnsi" w:cstheme="majorHAnsi"/>
                <w:sz w:val="20"/>
                <w:szCs w:val="20"/>
              </w:rPr>
              <w:t>de los procesos sancionatorios contractuales</w:t>
            </w:r>
            <w:r w:rsidR="002C3E70">
              <w:rPr>
                <w:rFonts w:asciiTheme="majorHAnsi" w:hAnsiTheme="majorHAnsi" w:cstheme="majorHAnsi"/>
                <w:sz w:val="20"/>
                <w:szCs w:val="20"/>
              </w:rPr>
              <w:t>, que se materializan a través de actos administrativos</w:t>
            </w:r>
            <w:r w:rsidR="00B06736">
              <w:rPr>
                <w:rFonts w:asciiTheme="majorHAnsi" w:hAnsiTheme="majorHAnsi" w:cstheme="majorHAnsi"/>
                <w:sz w:val="20"/>
                <w:szCs w:val="20"/>
              </w:rPr>
              <w:t>, previo debido proceso</w:t>
            </w:r>
            <w:r w:rsidR="002C3E70">
              <w:rPr>
                <w:rFonts w:asciiTheme="majorHAnsi" w:hAnsiTheme="majorHAnsi" w:cstheme="majorHAnsi"/>
                <w:sz w:val="20"/>
                <w:szCs w:val="20"/>
              </w:rPr>
              <w:t xml:space="preserve"> y no en informes</w:t>
            </w:r>
            <w:r w:rsidR="00B06736">
              <w:rPr>
                <w:rFonts w:asciiTheme="majorHAnsi" w:hAnsiTheme="majorHAnsi" w:cstheme="majorHAnsi"/>
                <w:sz w:val="20"/>
                <w:szCs w:val="20"/>
              </w:rPr>
              <w:t xml:space="preserve"> de seguimiento</w:t>
            </w:r>
            <w:r w:rsidR="00161617">
              <w:rPr>
                <w:rFonts w:asciiTheme="majorHAnsi" w:hAnsiTheme="majorHAnsi" w:cstheme="majorHAnsi"/>
                <w:sz w:val="20"/>
                <w:szCs w:val="20"/>
              </w:rPr>
              <w:t>, por lo que tampoco resulta clara la finalidad del ajuste</w:t>
            </w:r>
            <w:r w:rsidR="001B1028">
              <w:rPr>
                <w:rFonts w:asciiTheme="majorHAnsi" w:hAnsiTheme="majorHAnsi" w:cstheme="majorHAnsi"/>
                <w:sz w:val="20"/>
                <w:szCs w:val="20"/>
              </w:rPr>
              <w:t>.</w:t>
            </w:r>
          </w:p>
          <w:p w14:paraId="2871B816" w14:textId="77777777" w:rsidR="00744381" w:rsidRDefault="00744381" w:rsidP="005C7805">
            <w:pPr>
              <w:jc w:val="both"/>
              <w:rPr>
                <w:rFonts w:asciiTheme="majorHAnsi" w:hAnsiTheme="majorHAnsi" w:cstheme="majorHAnsi"/>
                <w:sz w:val="20"/>
                <w:szCs w:val="20"/>
              </w:rPr>
            </w:pPr>
          </w:p>
          <w:p w14:paraId="32D19A03" w14:textId="77777777" w:rsidR="00B06736" w:rsidRDefault="00744381" w:rsidP="005C7805">
            <w:pPr>
              <w:jc w:val="both"/>
              <w:rPr>
                <w:rFonts w:asciiTheme="majorHAnsi" w:hAnsiTheme="majorHAnsi" w:cstheme="majorHAnsi"/>
                <w:sz w:val="20"/>
                <w:szCs w:val="20"/>
              </w:rPr>
            </w:pPr>
            <w:r>
              <w:rPr>
                <w:rFonts w:asciiTheme="majorHAnsi" w:hAnsiTheme="majorHAnsi" w:cstheme="majorHAnsi"/>
                <w:sz w:val="20"/>
                <w:szCs w:val="20"/>
              </w:rPr>
              <w:t>Finalmente, en la propuesta deben revisar si la contratación de obras o servicios públicos abarca todas las posibilidades contractuales actuales</w:t>
            </w:r>
            <w:r w:rsidR="00B06736">
              <w:rPr>
                <w:rFonts w:asciiTheme="majorHAnsi" w:hAnsiTheme="majorHAnsi" w:cstheme="majorHAnsi"/>
                <w:sz w:val="20"/>
                <w:szCs w:val="20"/>
              </w:rPr>
              <w:t>.</w:t>
            </w:r>
          </w:p>
          <w:p w14:paraId="568D6E19" w14:textId="77777777" w:rsidR="00B06736" w:rsidRDefault="00B06736" w:rsidP="005C7805">
            <w:pPr>
              <w:jc w:val="both"/>
              <w:rPr>
                <w:rFonts w:asciiTheme="majorHAnsi" w:hAnsiTheme="majorHAnsi" w:cstheme="majorHAnsi"/>
                <w:sz w:val="20"/>
                <w:szCs w:val="20"/>
              </w:rPr>
            </w:pPr>
          </w:p>
          <w:p w14:paraId="5487DB64" w14:textId="32416FA1" w:rsidR="00744381" w:rsidRPr="000563E9" w:rsidRDefault="00B06736" w:rsidP="005C7805">
            <w:pPr>
              <w:jc w:val="both"/>
              <w:rPr>
                <w:rFonts w:asciiTheme="majorHAnsi" w:hAnsiTheme="majorHAnsi" w:cstheme="majorHAnsi"/>
                <w:sz w:val="20"/>
                <w:szCs w:val="20"/>
              </w:rPr>
            </w:pPr>
            <w:r w:rsidRPr="00B06736">
              <w:rPr>
                <w:rFonts w:asciiTheme="majorHAnsi" w:hAnsiTheme="majorHAnsi" w:cstheme="majorHAnsi"/>
                <w:sz w:val="20"/>
                <w:szCs w:val="20"/>
              </w:rPr>
              <w:t>De igual forma, se reitera la inconveniencia de establecer porcentajes genéricos, en contravía del principio de planeación previsto en la Ley 80 de 1993.</w:t>
            </w:r>
            <w:r w:rsidR="00744381">
              <w:rPr>
                <w:rFonts w:asciiTheme="majorHAnsi" w:hAnsiTheme="majorHAnsi" w:cstheme="majorHAnsi"/>
                <w:sz w:val="20"/>
                <w:szCs w:val="20"/>
              </w:rPr>
              <w:t xml:space="preserve"> </w:t>
            </w:r>
          </w:p>
        </w:tc>
      </w:tr>
    </w:tbl>
    <w:p w14:paraId="67A7C96B" w14:textId="77777777" w:rsidR="00C73E3E" w:rsidRPr="000563E9" w:rsidRDefault="00C73E3E" w:rsidP="00FE4C6B">
      <w:pPr>
        <w:spacing w:line="240" w:lineRule="auto"/>
        <w:jc w:val="both"/>
        <w:rPr>
          <w:rFonts w:asciiTheme="majorHAnsi" w:hAnsiTheme="majorHAnsi" w:cstheme="majorHAnsi"/>
          <w:sz w:val="20"/>
          <w:szCs w:val="20"/>
        </w:rPr>
      </w:pPr>
    </w:p>
    <w:p w14:paraId="5005155F" w14:textId="77777777" w:rsidR="00834195" w:rsidRPr="000563E9" w:rsidRDefault="00834195" w:rsidP="00FE4C6B">
      <w:pPr>
        <w:spacing w:line="240" w:lineRule="auto"/>
        <w:jc w:val="both"/>
        <w:rPr>
          <w:rFonts w:asciiTheme="majorHAnsi" w:hAnsiTheme="majorHAnsi" w:cstheme="majorHAnsi"/>
          <w:sz w:val="20"/>
          <w:szCs w:val="20"/>
        </w:rPr>
      </w:pPr>
    </w:p>
    <w:sectPr w:rsidR="00834195" w:rsidRPr="000563E9" w:rsidSect="000D5949">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C7C2F"/>
    <w:multiLevelType w:val="multilevel"/>
    <w:tmpl w:val="B18A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9C4E7D"/>
    <w:multiLevelType w:val="multilevel"/>
    <w:tmpl w:val="A3441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A079BD"/>
    <w:multiLevelType w:val="multilevel"/>
    <w:tmpl w:val="1D08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4C5A30"/>
    <w:multiLevelType w:val="multilevel"/>
    <w:tmpl w:val="5E8CA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E96CF2"/>
    <w:multiLevelType w:val="multilevel"/>
    <w:tmpl w:val="BC9A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3818110">
    <w:abstractNumId w:val="2"/>
  </w:num>
  <w:num w:numId="2" w16cid:durableId="282394926">
    <w:abstractNumId w:val="1"/>
  </w:num>
  <w:num w:numId="3" w16cid:durableId="844786184">
    <w:abstractNumId w:val="0"/>
  </w:num>
  <w:num w:numId="4" w16cid:durableId="2098402116">
    <w:abstractNumId w:val="4"/>
  </w:num>
  <w:num w:numId="5" w16cid:durableId="1480804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38E"/>
    <w:rsid w:val="00013CB4"/>
    <w:rsid w:val="00022224"/>
    <w:rsid w:val="000361D0"/>
    <w:rsid w:val="000563E9"/>
    <w:rsid w:val="00073E73"/>
    <w:rsid w:val="000B2DBA"/>
    <w:rsid w:val="000B30E9"/>
    <w:rsid w:val="000C646D"/>
    <w:rsid w:val="000D5949"/>
    <w:rsid w:val="000E34A8"/>
    <w:rsid w:val="000E376D"/>
    <w:rsid w:val="00117479"/>
    <w:rsid w:val="00130A90"/>
    <w:rsid w:val="00132C7D"/>
    <w:rsid w:val="00161617"/>
    <w:rsid w:val="001633F1"/>
    <w:rsid w:val="00167A16"/>
    <w:rsid w:val="001762C1"/>
    <w:rsid w:val="00187E96"/>
    <w:rsid w:val="00197653"/>
    <w:rsid w:val="001B1028"/>
    <w:rsid w:val="001B69E8"/>
    <w:rsid w:val="001C7320"/>
    <w:rsid w:val="001E2B2C"/>
    <w:rsid w:val="001E45B9"/>
    <w:rsid w:val="001F6270"/>
    <w:rsid w:val="00212028"/>
    <w:rsid w:val="00214A8A"/>
    <w:rsid w:val="002213B8"/>
    <w:rsid w:val="002357AE"/>
    <w:rsid w:val="00246277"/>
    <w:rsid w:val="00254289"/>
    <w:rsid w:val="00255C0A"/>
    <w:rsid w:val="0027170D"/>
    <w:rsid w:val="00293B30"/>
    <w:rsid w:val="002A01B2"/>
    <w:rsid w:val="002C2A2B"/>
    <w:rsid w:val="002C3E70"/>
    <w:rsid w:val="002C5910"/>
    <w:rsid w:val="002F2E0F"/>
    <w:rsid w:val="00301EDC"/>
    <w:rsid w:val="00330A92"/>
    <w:rsid w:val="003676B6"/>
    <w:rsid w:val="0037631E"/>
    <w:rsid w:val="00381E24"/>
    <w:rsid w:val="0041661B"/>
    <w:rsid w:val="00423B50"/>
    <w:rsid w:val="00425456"/>
    <w:rsid w:val="00433721"/>
    <w:rsid w:val="0045533B"/>
    <w:rsid w:val="00472393"/>
    <w:rsid w:val="004825BF"/>
    <w:rsid w:val="00494B3B"/>
    <w:rsid w:val="004A6B83"/>
    <w:rsid w:val="004A6CA9"/>
    <w:rsid w:val="004C426C"/>
    <w:rsid w:val="005202B8"/>
    <w:rsid w:val="00531E51"/>
    <w:rsid w:val="00552956"/>
    <w:rsid w:val="00553EB5"/>
    <w:rsid w:val="005603D9"/>
    <w:rsid w:val="0058008F"/>
    <w:rsid w:val="00580326"/>
    <w:rsid w:val="005C7805"/>
    <w:rsid w:val="005C78E4"/>
    <w:rsid w:val="00620DA5"/>
    <w:rsid w:val="00621E43"/>
    <w:rsid w:val="006314D8"/>
    <w:rsid w:val="0063220B"/>
    <w:rsid w:val="00635413"/>
    <w:rsid w:val="0065283A"/>
    <w:rsid w:val="00665561"/>
    <w:rsid w:val="00673FA0"/>
    <w:rsid w:val="00676A95"/>
    <w:rsid w:val="006807C6"/>
    <w:rsid w:val="00681968"/>
    <w:rsid w:val="006B1D7B"/>
    <w:rsid w:val="006B307A"/>
    <w:rsid w:val="00700FD1"/>
    <w:rsid w:val="00703F4A"/>
    <w:rsid w:val="0071267A"/>
    <w:rsid w:val="0072693D"/>
    <w:rsid w:val="00744381"/>
    <w:rsid w:val="00747A84"/>
    <w:rsid w:val="0077073D"/>
    <w:rsid w:val="00774F1F"/>
    <w:rsid w:val="007A3669"/>
    <w:rsid w:val="007E2B10"/>
    <w:rsid w:val="007F6A64"/>
    <w:rsid w:val="00806C52"/>
    <w:rsid w:val="00811B8C"/>
    <w:rsid w:val="00826D62"/>
    <w:rsid w:val="0083280E"/>
    <w:rsid w:val="00834195"/>
    <w:rsid w:val="00842A92"/>
    <w:rsid w:val="00843E04"/>
    <w:rsid w:val="00851A0C"/>
    <w:rsid w:val="0086075F"/>
    <w:rsid w:val="00871C94"/>
    <w:rsid w:val="00890DAC"/>
    <w:rsid w:val="00891C36"/>
    <w:rsid w:val="008F4A93"/>
    <w:rsid w:val="00900036"/>
    <w:rsid w:val="00910836"/>
    <w:rsid w:val="0091138E"/>
    <w:rsid w:val="009121B1"/>
    <w:rsid w:val="00927389"/>
    <w:rsid w:val="009371A2"/>
    <w:rsid w:val="009431B3"/>
    <w:rsid w:val="00944EC2"/>
    <w:rsid w:val="00991FE0"/>
    <w:rsid w:val="009A1E49"/>
    <w:rsid w:val="009A1F8D"/>
    <w:rsid w:val="009A7E2D"/>
    <w:rsid w:val="009C53B1"/>
    <w:rsid w:val="00A026F8"/>
    <w:rsid w:val="00A35219"/>
    <w:rsid w:val="00A44CF6"/>
    <w:rsid w:val="00A6362F"/>
    <w:rsid w:val="00A75AA7"/>
    <w:rsid w:val="00A75EC9"/>
    <w:rsid w:val="00A77539"/>
    <w:rsid w:val="00AA71C7"/>
    <w:rsid w:val="00AB264C"/>
    <w:rsid w:val="00AC33E6"/>
    <w:rsid w:val="00AC5422"/>
    <w:rsid w:val="00AF39C4"/>
    <w:rsid w:val="00B06736"/>
    <w:rsid w:val="00B132D0"/>
    <w:rsid w:val="00B14C5E"/>
    <w:rsid w:val="00B35A60"/>
    <w:rsid w:val="00B5176C"/>
    <w:rsid w:val="00B6439D"/>
    <w:rsid w:val="00B84553"/>
    <w:rsid w:val="00BA78F5"/>
    <w:rsid w:val="00BA7C78"/>
    <w:rsid w:val="00BB04B8"/>
    <w:rsid w:val="00BB26DD"/>
    <w:rsid w:val="00BB7FF2"/>
    <w:rsid w:val="00BF05CB"/>
    <w:rsid w:val="00BF65DF"/>
    <w:rsid w:val="00C02C9A"/>
    <w:rsid w:val="00C41B05"/>
    <w:rsid w:val="00C73E3E"/>
    <w:rsid w:val="00C74557"/>
    <w:rsid w:val="00CA184E"/>
    <w:rsid w:val="00CA5089"/>
    <w:rsid w:val="00CE32DC"/>
    <w:rsid w:val="00CF027C"/>
    <w:rsid w:val="00D03B2C"/>
    <w:rsid w:val="00D1549F"/>
    <w:rsid w:val="00D32698"/>
    <w:rsid w:val="00D416D7"/>
    <w:rsid w:val="00D45530"/>
    <w:rsid w:val="00D64E78"/>
    <w:rsid w:val="00D8460D"/>
    <w:rsid w:val="00D85E65"/>
    <w:rsid w:val="00DA1DEB"/>
    <w:rsid w:val="00DC311C"/>
    <w:rsid w:val="00DD7FE2"/>
    <w:rsid w:val="00DF6E13"/>
    <w:rsid w:val="00DF70AA"/>
    <w:rsid w:val="00E21C23"/>
    <w:rsid w:val="00E318CF"/>
    <w:rsid w:val="00E34F68"/>
    <w:rsid w:val="00E35F76"/>
    <w:rsid w:val="00E52894"/>
    <w:rsid w:val="00E72F36"/>
    <w:rsid w:val="00E91CF0"/>
    <w:rsid w:val="00EB50CD"/>
    <w:rsid w:val="00EC70E4"/>
    <w:rsid w:val="00ED0A94"/>
    <w:rsid w:val="00ED3929"/>
    <w:rsid w:val="00ED72DA"/>
    <w:rsid w:val="00EF2B37"/>
    <w:rsid w:val="00EF2F56"/>
    <w:rsid w:val="00F10E71"/>
    <w:rsid w:val="00F22E66"/>
    <w:rsid w:val="00F32985"/>
    <w:rsid w:val="00F44D19"/>
    <w:rsid w:val="00F470B2"/>
    <w:rsid w:val="00F54659"/>
    <w:rsid w:val="00F9328D"/>
    <w:rsid w:val="00FB54F2"/>
    <w:rsid w:val="00FB5AF2"/>
    <w:rsid w:val="00FC1412"/>
    <w:rsid w:val="00FD5022"/>
    <w:rsid w:val="00FE4C6B"/>
    <w:rsid w:val="00FF7A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FA92"/>
  <w15:chartTrackingRefBased/>
  <w15:docId w15:val="{C75356FE-03D2-4D97-870E-605E1340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13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113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1138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1138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1138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1138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138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138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138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138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1138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1138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1138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1138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1138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138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138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138E"/>
    <w:rPr>
      <w:rFonts w:eastAsiaTheme="majorEastAsia" w:cstheme="majorBidi"/>
      <w:color w:val="272727" w:themeColor="text1" w:themeTint="D8"/>
    </w:rPr>
  </w:style>
  <w:style w:type="paragraph" w:styleId="Ttulo">
    <w:name w:val="Title"/>
    <w:basedOn w:val="Normal"/>
    <w:next w:val="Normal"/>
    <w:link w:val="TtuloCar"/>
    <w:uiPriority w:val="10"/>
    <w:qFormat/>
    <w:rsid w:val="00911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138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138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138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138E"/>
    <w:pPr>
      <w:spacing w:before="160"/>
      <w:jc w:val="center"/>
    </w:pPr>
    <w:rPr>
      <w:i/>
      <w:iCs/>
      <w:color w:val="404040" w:themeColor="text1" w:themeTint="BF"/>
    </w:rPr>
  </w:style>
  <w:style w:type="character" w:customStyle="1" w:styleId="CitaCar">
    <w:name w:val="Cita Car"/>
    <w:basedOn w:val="Fuentedeprrafopredeter"/>
    <w:link w:val="Cita"/>
    <w:uiPriority w:val="29"/>
    <w:rsid w:val="0091138E"/>
    <w:rPr>
      <w:i/>
      <w:iCs/>
      <w:color w:val="404040" w:themeColor="text1" w:themeTint="BF"/>
    </w:rPr>
  </w:style>
  <w:style w:type="paragraph" w:styleId="Prrafodelista">
    <w:name w:val="List Paragraph"/>
    <w:basedOn w:val="Normal"/>
    <w:uiPriority w:val="34"/>
    <w:qFormat/>
    <w:rsid w:val="0091138E"/>
    <w:pPr>
      <w:ind w:left="720"/>
      <w:contextualSpacing/>
    </w:pPr>
  </w:style>
  <w:style w:type="character" w:styleId="nfasisintenso">
    <w:name w:val="Intense Emphasis"/>
    <w:basedOn w:val="Fuentedeprrafopredeter"/>
    <w:uiPriority w:val="21"/>
    <w:qFormat/>
    <w:rsid w:val="0091138E"/>
    <w:rPr>
      <w:i/>
      <w:iCs/>
      <w:color w:val="2F5496" w:themeColor="accent1" w:themeShade="BF"/>
    </w:rPr>
  </w:style>
  <w:style w:type="paragraph" w:styleId="Citadestacada">
    <w:name w:val="Intense Quote"/>
    <w:basedOn w:val="Normal"/>
    <w:next w:val="Normal"/>
    <w:link w:val="CitadestacadaCar"/>
    <w:uiPriority w:val="30"/>
    <w:qFormat/>
    <w:rsid w:val="009113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1138E"/>
    <w:rPr>
      <w:i/>
      <w:iCs/>
      <w:color w:val="2F5496" w:themeColor="accent1" w:themeShade="BF"/>
    </w:rPr>
  </w:style>
  <w:style w:type="character" w:styleId="Referenciaintensa">
    <w:name w:val="Intense Reference"/>
    <w:basedOn w:val="Fuentedeprrafopredeter"/>
    <w:uiPriority w:val="32"/>
    <w:qFormat/>
    <w:rsid w:val="0091138E"/>
    <w:rPr>
      <w:b/>
      <w:bCs/>
      <w:smallCaps/>
      <w:color w:val="2F5496" w:themeColor="accent1" w:themeShade="BF"/>
      <w:spacing w:val="5"/>
    </w:rPr>
  </w:style>
  <w:style w:type="table" w:styleId="Tablaconcuadrcula">
    <w:name w:val="Table Grid"/>
    <w:basedOn w:val="Tablanormal"/>
    <w:uiPriority w:val="39"/>
    <w:rsid w:val="00811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811B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E376D"/>
    <w:rPr>
      <w:color w:val="0563C1" w:themeColor="hyperlink"/>
      <w:u w:val="single"/>
    </w:rPr>
  </w:style>
  <w:style w:type="character" w:styleId="Mencinsinresolver">
    <w:name w:val="Unresolved Mention"/>
    <w:basedOn w:val="Fuentedeprrafopredeter"/>
    <w:uiPriority w:val="99"/>
    <w:semiHidden/>
    <w:unhideWhenUsed/>
    <w:rsid w:val="000E3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17</Pages>
  <Words>6458</Words>
  <Characters>35326</Characters>
  <Application>Microsoft Office Word</Application>
  <DocSecurity>0</DocSecurity>
  <Lines>1009</Lines>
  <Paragraphs>191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Giomar Liliana Gutierrez Sanchez</dc:creator>
  <cp:keywords/>
  <dc:description/>
  <cp:lastModifiedBy>Giomar Liliana Gutierrez Sanchez</cp:lastModifiedBy>
  <cp:revision>173</cp:revision>
  <dcterms:created xsi:type="dcterms:W3CDTF">2026-04-06T17:43:00Z</dcterms:created>
  <dcterms:modified xsi:type="dcterms:W3CDTF">2026-04-06T21:37:00Z</dcterms:modified>
</cp:coreProperties>
</file>